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9298C" w14:textId="5B69BD76" w:rsidR="005D1CBF" w:rsidRDefault="005D1CBF" w:rsidP="005D1CBF">
      <w:pPr>
        <w:pStyle w:val="Heading1"/>
        <w:rPr>
          <w:lang w:val="en-GB"/>
        </w:rPr>
      </w:pPr>
    </w:p>
    <w:p w14:paraId="15FBDF51" w14:textId="77777777" w:rsidR="005D1CBF" w:rsidRDefault="005D1CBF" w:rsidP="005D1CBF">
      <w:pPr>
        <w:rPr>
          <w:i/>
          <w:iCs/>
          <w:color w:val="002060"/>
          <w:sz w:val="28"/>
          <w:szCs w:val="28"/>
          <w:lang w:eastAsia="es-ES"/>
        </w:rPr>
      </w:pPr>
    </w:p>
    <w:p w14:paraId="7AB2D8D9" w14:textId="7CB35FCE" w:rsidR="005D1CBF" w:rsidRDefault="005D1CBF" w:rsidP="005D1CBF">
      <w:pPr>
        <w:jc w:val="center"/>
        <w:rPr>
          <w:b/>
          <w:i/>
          <w:iCs/>
          <w:color w:val="2F5496" w:themeColor="accent1" w:themeShade="BF"/>
          <w:sz w:val="28"/>
          <w:szCs w:val="28"/>
          <w:lang w:val="es-ES_tradnl" w:eastAsia="es-ES"/>
        </w:rPr>
      </w:pPr>
      <w:r>
        <w:rPr>
          <w:b/>
          <w:i/>
          <w:iCs/>
          <w:color w:val="2F5496" w:themeColor="accent1" w:themeShade="BF"/>
          <w:sz w:val="28"/>
          <w:szCs w:val="28"/>
          <w:lang w:val="es-ES_tradnl" w:eastAsia="es-ES"/>
        </w:rPr>
        <w:t>EEW</w:t>
      </w:r>
      <w:r>
        <w:rPr>
          <w:b/>
          <w:i/>
          <w:iCs/>
          <w:color w:val="2F5496" w:themeColor="accent1" w:themeShade="BF"/>
          <w:sz w:val="28"/>
          <w:szCs w:val="28"/>
          <w:lang w:eastAsia="es-ES"/>
        </w:rPr>
        <w:t>4 Event Report</w:t>
      </w:r>
    </w:p>
    <w:p w14:paraId="3A360667" w14:textId="77777777" w:rsidR="005D1CBF" w:rsidRDefault="005D1CBF" w:rsidP="005D1CBF">
      <w:pPr>
        <w:spacing w:after="160" w:line="256" w:lineRule="auto"/>
        <w:rPr>
          <w:rFonts w:asciiTheme="minorHAnsi" w:eastAsiaTheme="minorHAnsi" w:hAnsiTheme="minorHAnsi" w:cstheme="minorBidi"/>
        </w:rPr>
      </w:pPr>
    </w:p>
    <w:tbl>
      <w:tblPr>
        <w:tblStyle w:val="GridTable3-Accent4"/>
        <w:tblW w:w="0" w:type="auto"/>
        <w:tblInd w:w="5" w:type="dxa"/>
        <w:tblLook w:val="04A0" w:firstRow="1" w:lastRow="0" w:firstColumn="1" w:lastColumn="0" w:noHBand="0" w:noVBand="1"/>
      </w:tblPr>
      <w:tblGrid>
        <w:gridCol w:w="2449"/>
        <w:gridCol w:w="6906"/>
      </w:tblGrid>
      <w:tr w:rsidR="00C02E5B" w14:paraId="3D985E1F" w14:textId="77777777" w:rsidTr="00E515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9" w:type="dxa"/>
            <w:hideMark/>
          </w:tcPr>
          <w:p w14:paraId="45A063C7" w14:textId="77777777" w:rsidR="005D1CBF" w:rsidRDefault="005D1CBF">
            <w:pPr>
              <w:rPr>
                <w:rFonts w:asciiTheme="majorHAnsi" w:eastAsiaTheme="majorEastAsia" w:hAnsiTheme="majorHAnsi" w:cstheme="majorBidi"/>
                <w:sz w:val="28"/>
                <w:szCs w:val="28"/>
              </w:rPr>
            </w:pPr>
            <w:r>
              <w:rPr>
                <w:rFonts w:asciiTheme="majorHAnsi" w:eastAsiaTheme="majorEastAsia" w:hAnsiTheme="majorHAnsi" w:cstheme="majorBidi"/>
                <w:sz w:val="26"/>
                <w:szCs w:val="26"/>
              </w:rPr>
              <w:t>Title of the event:</w:t>
            </w:r>
          </w:p>
        </w:tc>
        <w:tc>
          <w:tcPr>
            <w:tcW w:w="6906" w:type="dxa"/>
            <w:tcBorders>
              <w:bottom w:val="single" w:sz="4" w:space="0" w:color="FFD966" w:themeColor="accent4" w:themeTint="99"/>
            </w:tcBorders>
          </w:tcPr>
          <w:p w14:paraId="0B668F7E" w14:textId="77777777" w:rsidR="00895499" w:rsidRDefault="00895499" w:rsidP="00895499">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val="0"/>
                <w:bCs w:val="0"/>
                <w:sz w:val="28"/>
                <w:szCs w:val="28"/>
              </w:rPr>
            </w:pPr>
            <w:r>
              <w:rPr>
                <w:rFonts w:asciiTheme="minorHAnsi" w:eastAsiaTheme="minorHAnsi" w:hAnsiTheme="minorHAnsi" w:cstheme="minorBidi"/>
                <w:sz w:val="28"/>
                <w:szCs w:val="28"/>
              </w:rPr>
              <w:t>Energy Efficiency Watch</w:t>
            </w:r>
          </w:p>
          <w:p w14:paraId="2821842D" w14:textId="71342D46" w:rsidR="00895499" w:rsidRPr="00895499" w:rsidRDefault="00895499" w:rsidP="00895499">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8"/>
                <w:szCs w:val="28"/>
              </w:rPr>
            </w:pPr>
            <w:r w:rsidRPr="00895499">
              <w:rPr>
                <w:rFonts w:asciiTheme="minorHAnsi" w:eastAsiaTheme="minorHAnsi" w:hAnsiTheme="minorHAnsi" w:cstheme="minorBidi"/>
                <w:sz w:val="28"/>
                <w:szCs w:val="28"/>
              </w:rPr>
              <w:t xml:space="preserve">National Business Stakeholder Workshop, </w:t>
            </w:r>
            <w:r w:rsidR="00DE28D6">
              <w:rPr>
                <w:rFonts w:asciiTheme="minorHAnsi" w:eastAsiaTheme="minorHAnsi" w:hAnsiTheme="minorHAnsi" w:cstheme="minorBidi"/>
                <w:sz w:val="28"/>
                <w:szCs w:val="28"/>
              </w:rPr>
              <w:t>France</w:t>
            </w:r>
            <w:r w:rsidRPr="00895499">
              <w:rPr>
                <w:rFonts w:asciiTheme="minorHAnsi" w:eastAsiaTheme="minorHAnsi" w:hAnsiTheme="minorHAnsi" w:cstheme="minorBidi"/>
                <w:sz w:val="28"/>
                <w:szCs w:val="28"/>
              </w:rPr>
              <w:t>:</w:t>
            </w:r>
          </w:p>
          <w:p w14:paraId="35209246" w14:textId="28D870B1" w:rsidR="005D1CBF" w:rsidRDefault="00895499" w:rsidP="00895499">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8"/>
                <w:szCs w:val="28"/>
              </w:rPr>
            </w:pPr>
            <w:r w:rsidRPr="00895499">
              <w:rPr>
                <w:rFonts w:asciiTheme="minorHAnsi" w:eastAsiaTheme="minorHAnsi" w:hAnsiTheme="minorHAnsi" w:cstheme="minorBidi"/>
                <w:sz w:val="28"/>
                <w:szCs w:val="28"/>
              </w:rPr>
              <w:t>Business perspectives on energy efficiency policy</w:t>
            </w:r>
          </w:p>
        </w:tc>
      </w:tr>
      <w:tr w:rsidR="00C02E5B" w14:paraId="737EE16E" w14:textId="77777777" w:rsidTr="00E5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tcBorders>
              <w:right w:val="single" w:sz="4" w:space="0" w:color="FFD966" w:themeColor="accent4" w:themeTint="99"/>
            </w:tcBorders>
            <w:hideMark/>
          </w:tcPr>
          <w:p w14:paraId="195FAB2C" w14:textId="77777777" w:rsidR="005D1CBF" w:rsidRDefault="005D1CBF">
            <w:pPr>
              <w:rPr>
                <w:rFonts w:asciiTheme="majorHAnsi" w:eastAsiaTheme="majorEastAsia" w:hAnsiTheme="majorHAnsi" w:cstheme="majorBidi"/>
                <w:sz w:val="26"/>
                <w:szCs w:val="26"/>
              </w:rPr>
            </w:pPr>
            <w:r>
              <w:rPr>
                <w:rFonts w:asciiTheme="majorHAnsi" w:eastAsiaTheme="majorEastAsia" w:hAnsiTheme="majorHAnsi" w:cstheme="majorBidi"/>
                <w:sz w:val="26"/>
                <w:szCs w:val="26"/>
              </w:rPr>
              <w:t xml:space="preserve">Date &amp; location: </w:t>
            </w:r>
          </w:p>
        </w:tc>
        <w:tc>
          <w:tcPr>
            <w:tcW w:w="690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06367DA5" w14:textId="0AFD9B57" w:rsidR="005D1CBF" w:rsidRDefault="00895499">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8"/>
                <w:szCs w:val="28"/>
              </w:rPr>
            </w:pPr>
            <w:r>
              <w:rPr>
                <w:rFonts w:asciiTheme="minorHAnsi" w:eastAsiaTheme="minorHAnsi" w:hAnsiTheme="minorHAnsi" w:cstheme="minorBidi"/>
              </w:rPr>
              <w:t>Online event:</w:t>
            </w:r>
            <w:r>
              <w:rPr>
                <w:rFonts w:asciiTheme="minorHAnsi" w:eastAsiaTheme="minorHAnsi" w:hAnsiTheme="minorHAnsi" w:cstheme="minorBidi"/>
                <w:lang w:val="en-US"/>
              </w:rPr>
              <w:br/>
            </w:r>
            <w:r w:rsidR="00B45D04">
              <w:rPr>
                <w:rFonts w:asciiTheme="minorHAnsi" w:eastAsiaTheme="minorHAnsi" w:hAnsiTheme="minorHAnsi" w:cstheme="minorBidi"/>
                <w:lang w:val="en-US"/>
              </w:rPr>
              <w:t>8</w:t>
            </w:r>
            <w:r w:rsidRPr="00823B81">
              <w:rPr>
                <w:rFonts w:asciiTheme="minorHAnsi" w:eastAsiaTheme="minorHAnsi" w:hAnsiTheme="minorHAnsi" w:cstheme="minorBidi"/>
                <w:lang w:val="en-US"/>
              </w:rPr>
              <w:t xml:space="preserve"> </w:t>
            </w:r>
            <w:r w:rsidR="00DE28D6">
              <w:rPr>
                <w:rFonts w:asciiTheme="minorHAnsi" w:eastAsiaTheme="minorHAnsi" w:hAnsiTheme="minorHAnsi" w:cstheme="minorBidi"/>
                <w:lang w:val="en-US"/>
              </w:rPr>
              <w:t>June</w:t>
            </w:r>
            <w:r>
              <w:rPr>
                <w:rFonts w:asciiTheme="minorHAnsi" w:eastAsiaTheme="minorHAnsi" w:hAnsiTheme="minorHAnsi" w:cstheme="minorBidi"/>
                <w:lang w:val="en-US"/>
              </w:rPr>
              <w:t xml:space="preserve"> </w:t>
            </w:r>
            <w:r w:rsidRPr="00823B81">
              <w:rPr>
                <w:rFonts w:asciiTheme="minorHAnsi" w:eastAsiaTheme="minorHAnsi" w:hAnsiTheme="minorHAnsi" w:cstheme="minorBidi"/>
                <w:lang w:val="en-US"/>
              </w:rPr>
              <w:t>202</w:t>
            </w:r>
            <w:r w:rsidR="00DE28D6">
              <w:rPr>
                <w:rFonts w:asciiTheme="minorHAnsi" w:eastAsiaTheme="minorHAnsi" w:hAnsiTheme="minorHAnsi" w:cstheme="minorBidi"/>
                <w:lang w:val="en-US"/>
              </w:rPr>
              <w:t>1</w:t>
            </w:r>
            <w:r w:rsidRPr="00823B81">
              <w:rPr>
                <w:rFonts w:asciiTheme="minorHAnsi" w:eastAsiaTheme="minorHAnsi" w:hAnsiTheme="minorHAnsi" w:cstheme="minorBidi"/>
                <w:lang w:val="en-US"/>
              </w:rPr>
              <w:t xml:space="preserve">, </w:t>
            </w:r>
            <w:r>
              <w:rPr>
                <w:rFonts w:asciiTheme="minorHAnsi" w:eastAsiaTheme="minorHAnsi" w:hAnsiTheme="minorHAnsi" w:cstheme="minorBidi"/>
                <w:lang w:val="en-US"/>
              </w:rPr>
              <w:t>1</w:t>
            </w:r>
            <w:r w:rsidR="00DE28D6">
              <w:rPr>
                <w:rFonts w:asciiTheme="minorHAnsi" w:eastAsiaTheme="minorHAnsi" w:hAnsiTheme="minorHAnsi" w:cstheme="minorBidi"/>
                <w:lang w:val="en-US"/>
              </w:rPr>
              <w:t>4</w:t>
            </w:r>
            <w:r w:rsidRPr="00823B81">
              <w:rPr>
                <w:rFonts w:asciiTheme="minorHAnsi" w:eastAsiaTheme="minorHAnsi" w:hAnsiTheme="minorHAnsi" w:cstheme="minorBidi"/>
                <w:lang w:val="en-US"/>
              </w:rPr>
              <w:t>:00 – 1</w:t>
            </w:r>
            <w:r w:rsidR="00DE28D6">
              <w:rPr>
                <w:rFonts w:asciiTheme="minorHAnsi" w:eastAsiaTheme="minorHAnsi" w:hAnsiTheme="minorHAnsi" w:cstheme="minorBidi"/>
                <w:lang w:val="en-US"/>
              </w:rPr>
              <w:t>6</w:t>
            </w:r>
            <w:r>
              <w:rPr>
                <w:rFonts w:asciiTheme="minorHAnsi" w:eastAsiaTheme="minorHAnsi" w:hAnsiTheme="minorHAnsi" w:cstheme="minorBidi"/>
                <w:lang w:val="en-US"/>
              </w:rPr>
              <w:t>:00</w:t>
            </w:r>
            <w:r w:rsidR="00E51577">
              <w:rPr>
                <w:rFonts w:asciiTheme="minorHAnsi" w:eastAsiaTheme="minorHAnsi" w:hAnsiTheme="minorHAnsi" w:cstheme="minorBidi"/>
                <w:lang w:val="en-US"/>
              </w:rPr>
              <w:t xml:space="preserve"> CEST</w:t>
            </w:r>
          </w:p>
        </w:tc>
      </w:tr>
      <w:tr w:rsidR="00C02E5B" w14:paraId="5230F15E" w14:textId="77777777" w:rsidTr="00E51577">
        <w:tc>
          <w:tcPr>
            <w:cnfStyle w:val="001000000000" w:firstRow="0" w:lastRow="0" w:firstColumn="1" w:lastColumn="0" w:oddVBand="0" w:evenVBand="0" w:oddHBand="0" w:evenHBand="0" w:firstRowFirstColumn="0" w:firstRowLastColumn="0" w:lastRowFirstColumn="0" w:lastRowLastColumn="0"/>
            <w:tcW w:w="2449" w:type="dxa"/>
            <w:tcBorders>
              <w:right w:val="single" w:sz="4" w:space="0" w:color="FFD966" w:themeColor="accent4" w:themeTint="99"/>
            </w:tcBorders>
            <w:hideMark/>
          </w:tcPr>
          <w:p w14:paraId="659B2588" w14:textId="77777777" w:rsidR="005D1CBF" w:rsidRDefault="005D1CBF">
            <w:pPr>
              <w:rPr>
                <w:rFonts w:asciiTheme="majorHAnsi" w:eastAsiaTheme="majorEastAsia" w:hAnsiTheme="majorHAnsi" w:cstheme="majorBidi"/>
                <w:sz w:val="26"/>
                <w:szCs w:val="26"/>
              </w:rPr>
            </w:pPr>
            <w:r>
              <w:rPr>
                <w:rFonts w:asciiTheme="majorHAnsi" w:eastAsiaTheme="majorEastAsia" w:hAnsiTheme="majorHAnsi" w:cstheme="majorBidi"/>
                <w:sz w:val="26"/>
                <w:szCs w:val="26"/>
              </w:rPr>
              <w:t xml:space="preserve">Organiser(s): </w:t>
            </w:r>
          </w:p>
        </w:tc>
        <w:tc>
          <w:tcPr>
            <w:tcW w:w="690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0BFBB3E4" w14:textId="726F8A55" w:rsidR="005D1CBF" w:rsidRDefault="00895499">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8"/>
                <w:szCs w:val="28"/>
              </w:rPr>
            </w:pPr>
            <w:r>
              <w:rPr>
                <w:rFonts w:asciiTheme="minorHAnsi" w:eastAsiaTheme="minorHAnsi" w:hAnsiTheme="minorHAnsi" w:cstheme="minorBidi"/>
                <w:lang w:val="en-US"/>
              </w:rPr>
              <w:t>Guidehouse</w:t>
            </w:r>
            <w:r w:rsidR="00985935">
              <w:rPr>
                <w:rFonts w:asciiTheme="minorHAnsi" w:eastAsiaTheme="minorHAnsi" w:hAnsiTheme="minorHAnsi" w:cstheme="minorBidi"/>
                <w:lang w:val="en-US"/>
              </w:rPr>
              <w:t>,</w:t>
            </w:r>
            <w:r w:rsidRPr="00C26962">
              <w:rPr>
                <w:rFonts w:asciiTheme="minorHAnsi" w:eastAsiaTheme="minorHAnsi" w:hAnsiTheme="minorHAnsi" w:cstheme="minorBidi"/>
                <w:lang w:val="en-US"/>
              </w:rPr>
              <w:t xml:space="preserve"> supported by</w:t>
            </w:r>
            <w:r>
              <w:t xml:space="preserve"> </w:t>
            </w:r>
            <w:r w:rsidR="00DE28D6" w:rsidRPr="00DE28D6">
              <w:t>Regional Energy &amp; Climate Agency</w:t>
            </w:r>
            <w:r w:rsidR="00DE28D6">
              <w:t xml:space="preserve"> (</w:t>
            </w:r>
            <w:r w:rsidR="00DE28D6" w:rsidRPr="00DE28D6">
              <w:rPr>
                <w:rFonts w:asciiTheme="minorHAnsi" w:eastAsiaTheme="minorHAnsi" w:hAnsiTheme="minorHAnsi" w:cstheme="minorBidi"/>
                <w:lang w:val="en-US"/>
              </w:rPr>
              <w:t>Agence Régionale Énergie-Climat</w:t>
            </w:r>
            <w:r w:rsidR="00DE28D6">
              <w:rPr>
                <w:rFonts w:asciiTheme="minorHAnsi" w:eastAsiaTheme="minorHAnsi" w:hAnsiTheme="minorHAnsi" w:cstheme="minorBidi"/>
                <w:lang w:val="en-US"/>
              </w:rPr>
              <w:t xml:space="preserve"> - </w:t>
            </w:r>
            <w:r w:rsidR="00DE28D6" w:rsidRPr="00DE28D6">
              <w:rPr>
                <w:rFonts w:asciiTheme="minorHAnsi" w:eastAsiaTheme="minorHAnsi" w:hAnsiTheme="minorHAnsi" w:cstheme="minorBidi"/>
                <w:lang w:val="en-US"/>
              </w:rPr>
              <w:t>AREC)</w:t>
            </w:r>
          </w:p>
        </w:tc>
      </w:tr>
      <w:tr w:rsidR="00C02E5B" w14:paraId="326957DD" w14:textId="77777777" w:rsidTr="00E5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tcBorders>
              <w:right w:val="single" w:sz="4" w:space="0" w:color="FFD966" w:themeColor="accent4" w:themeTint="99"/>
            </w:tcBorders>
            <w:hideMark/>
          </w:tcPr>
          <w:p w14:paraId="3AA87E30" w14:textId="77777777" w:rsidR="005D1CBF" w:rsidRDefault="005D1CBF">
            <w:pPr>
              <w:rPr>
                <w:rFonts w:asciiTheme="majorHAnsi" w:eastAsiaTheme="majorEastAsia" w:hAnsiTheme="majorHAnsi" w:cstheme="majorBidi"/>
                <w:sz w:val="26"/>
                <w:szCs w:val="26"/>
              </w:rPr>
            </w:pPr>
            <w:r>
              <w:rPr>
                <w:rFonts w:asciiTheme="majorHAnsi" w:eastAsiaTheme="majorEastAsia" w:hAnsiTheme="majorHAnsi" w:cstheme="majorBidi"/>
                <w:sz w:val="26"/>
                <w:szCs w:val="26"/>
              </w:rPr>
              <w:t>Summary of the event</w:t>
            </w:r>
          </w:p>
        </w:tc>
        <w:tc>
          <w:tcPr>
            <w:tcW w:w="690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5E8F16C4" w14:textId="02F93625" w:rsidR="005D1CBF" w:rsidRPr="002B315D" w:rsidRDefault="00E51577" w:rsidP="002B315D">
            <w:pPr>
              <w:jc w:val="both"/>
              <w:cnfStyle w:val="000000100000" w:firstRow="0" w:lastRow="0" w:firstColumn="0" w:lastColumn="0" w:oddVBand="0" w:evenVBand="0" w:oddHBand="1" w:evenHBand="0" w:firstRowFirstColumn="0" w:firstRowLastColumn="0" w:lastRowFirstColumn="0" w:lastRowLastColumn="0"/>
              <w:rPr>
                <w:lang w:val="en-US"/>
              </w:rPr>
            </w:pPr>
            <w:r w:rsidRPr="008F0C84">
              <w:rPr>
                <w:lang w:val="en-US"/>
              </w:rPr>
              <w:t xml:space="preserve">The Business Stakeholder Workshop </w:t>
            </w:r>
            <w:r>
              <w:rPr>
                <w:lang w:val="en-US"/>
              </w:rPr>
              <w:t>in</w:t>
            </w:r>
            <w:r w:rsidRPr="008F0C84">
              <w:rPr>
                <w:lang w:val="en-US"/>
              </w:rPr>
              <w:t xml:space="preserve"> France set out to explore enabling factors for successful energy efficiency measures and policies, on </w:t>
            </w:r>
            <w:r>
              <w:rPr>
                <w:lang w:val="en-US"/>
              </w:rPr>
              <w:t xml:space="preserve">both </w:t>
            </w:r>
            <w:r w:rsidRPr="008F0C84">
              <w:rPr>
                <w:lang w:val="en-US"/>
              </w:rPr>
              <w:t xml:space="preserve">the national and on the EU level. French </w:t>
            </w:r>
            <w:r>
              <w:rPr>
                <w:lang w:val="en-US"/>
              </w:rPr>
              <w:t xml:space="preserve">business </w:t>
            </w:r>
            <w:r w:rsidRPr="008F0C84">
              <w:rPr>
                <w:lang w:val="en-US"/>
              </w:rPr>
              <w:t xml:space="preserve">stakeholders attended the workshop and participated actively in the virtual session. Narrative elements identified in previous Energy Efficiency Watch National Business Stakeholder Workshops were fed into the discussion and jointly reviewed with the participants. The joint reflection on enabling narratives for energy efficiency provided valuable input from the perspective of the French business community for the elaboration of the Energy Efficiency Watch case studies. Daniel Becker of Guidehouse led the interactive workshop, supported by Marie-Laure Falque-Masset from AREC, the Energy </w:t>
            </w:r>
            <w:r>
              <w:rPr>
                <w:lang w:val="en-US"/>
              </w:rPr>
              <w:t>and</w:t>
            </w:r>
            <w:r w:rsidRPr="008F0C84">
              <w:rPr>
                <w:lang w:val="en-US"/>
              </w:rPr>
              <w:t xml:space="preserve"> Climate Agency </w:t>
            </w:r>
            <w:r>
              <w:rPr>
                <w:lang w:val="en-US"/>
              </w:rPr>
              <w:t>of the Île-de-</w:t>
            </w:r>
            <w:r w:rsidRPr="008F0C84">
              <w:rPr>
                <w:lang w:val="en-US"/>
              </w:rPr>
              <w:t>France</w:t>
            </w:r>
            <w:r>
              <w:rPr>
                <w:lang w:val="en-US"/>
              </w:rPr>
              <w:t xml:space="preserve"> Region.</w:t>
            </w:r>
          </w:p>
        </w:tc>
      </w:tr>
      <w:tr w:rsidR="00C02E5B" w14:paraId="0BDE1FA1" w14:textId="77777777" w:rsidTr="00E51577">
        <w:tc>
          <w:tcPr>
            <w:cnfStyle w:val="001000000000" w:firstRow="0" w:lastRow="0" w:firstColumn="1" w:lastColumn="0" w:oddVBand="0" w:evenVBand="0" w:oddHBand="0" w:evenHBand="0" w:firstRowFirstColumn="0" w:firstRowLastColumn="0" w:lastRowFirstColumn="0" w:lastRowLastColumn="0"/>
            <w:tcW w:w="2449" w:type="dxa"/>
            <w:tcBorders>
              <w:right w:val="single" w:sz="4" w:space="0" w:color="FFD966" w:themeColor="accent4" w:themeTint="99"/>
            </w:tcBorders>
            <w:hideMark/>
          </w:tcPr>
          <w:p w14:paraId="0E5C7A07" w14:textId="77777777" w:rsidR="005D1CBF" w:rsidRDefault="005D1CBF">
            <w:pPr>
              <w:rPr>
                <w:rFonts w:asciiTheme="majorHAnsi" w:eastAsiaTheme="majorEastAsia" w:hAnsiTheme="majorHAnsi" w:cstheme="majorBidi"/>
                <w:sz w:val="26"/>
                <w:szCs w:val="26"/>
              </w:rPr>
            </w:pPr>
            <w:r>
              <w:rPr>
                <w:rFonts w:asciiTheme="majorHAnsi" w:eastAsiaTheme="majorEastAsia" w:hAnsiTheme="majorHAnsi" w:cstheme="majorBidi"/>
                <w:sz w:val="26"/>
                <w:szCs w:val="26"/>
              </w:rPr>
              <w:t>Objective &amp; main programme point</w:t>
            </w:r>
          </w:p>
        </w:tc>
        <w:tc>
          <w:tcPr>
            <w:tcW w:w="690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0CC20FA0" w14:textId="20EE8F83" w:rsidR="00E51577" w:rsidRPr="00B00580" w:rsidRDefault="00E515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highlight w:val="red"/>
              </w:rPr>
            </w:pPr>
            <w:r w:rsidRPr="0068134E">
              <w:t xml:space="preserve">The aim of the workshop was to collect input on existing </w:t>
            </w:r>
            <w:r>
              <w:t>storylines</w:t>
            </w:r>
            <w:r w:rsidRPr="0068134E">
              <w:t xml:space="preserve"> </w:t>
            </w:r>
            <w:r>
              <w:t>on</w:t>
            </w:r>
            <w:r w:rsidRPr="0068134E">
              <w:t xml:space="preserve"> energy efficiency and to receive input from business stakeholders with a view to developing enabling narratives for</w:t>
            </w:r>
            <w:r>
              <w:t xml:space="preserve"> the effective </w:t>
            </w:r>
            <w:r w:rsidRPr="0068134E">
              <w:t>implementation of energy efficiency policies and measures in</w:t>
            </w:r>
            <w:r>
              <w:t xml:space="preserve"> France and </w:t>
            </w:r>
            <w:r w:rsidRPr="0068134E">
              <w:t>the EU</w:t>
            </w:r>
            <w:r>
              <w:t xml:space="preserve">. </w:t>
            </w:r>
            <w:r w:rsidRPr="006B5CBA">
              <w:t xml:space="preserve">Insights </w:t>
            </w:r>
            <w:r>
              <w:t xml:space="preserve">and pointed narratives </w:t>
            </w:r>
            <w:r w:rsidRPr="006B5CBA">
              <w:t xml:space="preserve">from previous business stakeholder workshops </w:t>
            </w:r>
            <w:r>
              <w:t>were tested and</w:t>
            </w:r>
            <w:r w:rsidRPr="006B5CBA">
              <w:t xml:space="preserve"> fed into the discussion.</w:t>
            </w:r>
          </w:p>
        </w:tc>
      </w:tr>
      <w:tr w:rsidR="00C02E5B" w14:paraId="0EE4A4A6" w14:textId="77777777" w:rsidTr="00E5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tcBorders>
              <w:right w:val="single" w:sz="4" w:space="0" w:color="FFD966" w:themeColor="accent4" w:themeTint="99"/>
            </w:tcBorders>
          </w:tcPr>
          <w:p w14:paraId="58777C01" w14:textId="5AB4CF80" w:rsidR="00FF1B08" w:rsidRDefault="00FF1B08">
            <w:pPr>
              <w:rPr>
                <w:rFonts w:asciiTheme="majorHAnsi" w:eastAsiaTheme="majorEastAsia" w:hAnsiTheme="majorHAnsi" w:cstheme="majorBidi"/>
                <w:sz w:val="26"/>
                <w:szCs w:val="26"/>
              </w:rPr>
            </w:pPr>
            <w:r>
              <w:rPr>
                <w:rFonts w:asciiTheme="majorHAnsi" w:eastAsiaTheme="majorEastAsia" w:hAnsiTheme="majorHAnsi" w:cstheme="majorBidi"/>
                <w:sz w:val="26"/>
                <w:szCs w:val="26"/>
              </w:rPr>
              <w:t>Conclusions</w:t>
            </w:r>
          </w:p>
        </w:tc>
        <w:tc>
          <w:tcPr>
            <w:tcW w:w="690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774B7765" w14:textId="4AC41AAA" w:rsidR="00D50BCB" w:rsidRDefault="00D50BCB" w:rsidP="0069115F">
            <w:pPr>
              <w:jc w:val="both"/>
              <w:cnfStyle w:val="000000100000" w:firstRow="0" w:lastRow="0" w:firstColumn="0" w:lastColumn="0" w:oddVBand="0" w:evenVBand="0" w:oddHBand="1" w:evenHBand="0" w:firstRowFirstColumn="0" w:firstRowLastColumn="0" w:lastRowFirstColumn="0" w:lastRowLastColumn="0"/>
              <w:rPr>
                <w:lang w:val="en-US"/>
              </w:rPr>
            </w:pPr>
            <w:r>
              <w:t xml:space="preserve">Based on the </w:t>
            </w:r>
            <w:r w:rsidR="00DE28D6">
              <w:t xml:space="preserve">discussion and </w:t>
            </w:r>
            <w:r>
              <w:t xml:space="preserve">consolidated reflection </w:t>
            </w:r>
            <w:r w:rsidR="00691622">
              <w:t>of</w:t>
            </w:r>
            <w:r>
              <w:t xml:space="preserve"> the participants, effective implementation of energy efficiency policies is</w:t>
            </w:r>
            <w:r w:rsidR="00070563">
              <w:t xml:space="preserve"> conditioned on a number of key vectors and narrative elements, including:</w:t>
            </w:r>
            <w:r>
              <w:rPr>
                <w:lang w:val="en-US"/>
              </w:rPr>
              <w:t xml:space="preserve"> </w:t>
            </w:r>
          </w:p>
          <w:p w14:paraId="215F9025" w14:textId="129CBF3F" w:rsidR="00E51577" w:rsidRPr="00177501" w:rsidRDefault="00E51577" w:rsidP="00E51577">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pPr>
            <w:r w:rsidRPr="00177501">
              <w:rPr>
                <w:b/>
                <w:bCs/>
              </w:rPr>
              <w:lastRenderedPageBreak/>
              <w:t>Trust</w:t>
            </w:r>
            <w:r>
              <w:rPr>
                <w:b/>
                <w:bCs/>
              </w:rPr>
              <w:t xml:space="preserve"> </w:t>
            </w:r>
            <w:r w:rsidRPr="00177501">
              <w:t>must be regained</w:t>
            </w:r>
            <w:r>
              <w:t xml:space="preserve"> since</w:t>
            </w:r>
            <w:r w:rsidRPr="00177501">
              <w:t xml:space="preserve"> </w:t>
            </w:r>
            <w:r>
              <w:t>the o</w:t>
            </w:r>
            <w:r w:rsidRPr="00177501">
              <w:t xml:space="preserve">ld narrative of the savings paying for the costs did not </w:t>
            </w:r>
            <w:r>
              <w:t>(always) deliver, as participants found</w:t>
            </w:r>
            <w:r w:rsidRPr="00177501">
              <w:t xml:space="preserve">. Consequently, support of the economic actors </w:t>
            </w:r>
            <w:r>
              <w:t xml:space="preserve">of </w:t>
            </w:r>
            <w:r w:rsidRPr="00177501">
              <w:t xml:space="preserve">energy efficiency and </w:t>
            </w:r>
            <w:r>
              <w:t xml:space="preserve">for </w:t>
            </w:r>
            <w:r w:rsidRPr="00177501">
              <w:t>related policies</w:t>
            </w:r>
            <w:r>
              <w:t xml:space="preserve"> </w:t>
            </w:r>
            <w:r w:rsidRPr="00177501">
              <w:t xml:space="preserve">was lost. </w:t>
            </w:r>
            <w:r>
              <w:t>The m</w:t>
            </w:r>
            <w:r w:rsidRPr="00177501">
              <w:t xml:space="preserve">ainstream discussion focuses on deep renovation and technical issues, but </w:t>
            </w:r>
            <w:r>
              <w:t xml:space="preserve">the </w:t>
            </w:r>
            <w:r w:rsidRPr="00177501">
              <w:rPr>
                <w:b/>
                <w:bCs/>
              </w:rPr>
              <w:t>financial perspective</w:t>
            </w:r>
            <w:r w:rsidRPr="00177501">
              <w:t xml:space="preserve"> is not </w:t>
            </w:r>
            <w:r>
              <w:t xml:space="preserve">a </w:t>
            </w:r>
            <w:r w:rsidRPr="00177501">
              <w:t>focus</w:t>
            </w:r>
            <w:r>
              <w:t xml:space="preserve"> and therefore needs to be followed up upon in the discus</w:t>
            </w:r>
            <w:r w:rsidRPr="00177501">
              <w:t>sion.</w:t>
            </w:r>
          </w:p>
          <w:p w14:paraId="6A29913D" w14:textId="77777777" w:rsidR="00E51577" w:rsidRPr="00177501" w:rsidRDefault="00E51577" w:rsidP="00E51577">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pPr>
            <w:r w:rsidRPr="00177501">
              <w:t xml:space="preserve">A </w:t>
            </w:r>
            <w:r w:rsidRPr="00177501">
              <w:rPr>
                <w:b/>
                <w:bCs/>
              </w:rPr>
              <w:t>just transition must be guaranteed</w:t>
            </w:r>
            <w:r>
              <w:rPr>
                <w:b/>
                <w:bCs/>
              </w:rPr>
              <w:t>:</w:t>
            </w:r>
            <w:r w:rsidRPr="00177501">
              <w:t xml:space="preserve"> the question of who will be paying (e.g. for renovations of residential buildings, necessary infrastructure like hydrogen pipelines</w:t>
            </w:r>
            <w:r>
              <w:t xml:space="preserve"> etc.</w:t>
            </w:r>
            <w:r w:rsidRPr="00177501">
              <w:t>) needs to be solved</w:t>
            </w:r>
            <w:r>
              <w:t xml:space="preserve"> and communicated</w:t>
            </w:r>
            <w:r w:rsidRPr="00177501">
              <w:t xml:space="preserve">. </w:t>
            </w:r>
            <w:r>
              <w:t xml:space="preserve">Funding in the framework of the </w:t>
            </w:r>
            <w:r w:rsidRPr="00177501">
              <w:t xml:space="preserve">Green </w:t>
            </w:r>
            <w:r>
              <w:t>D</w:t>
            </w:r>
            <w:r w:rsidRPr="00177501">
              <w:t xml:space="preserve">eal </w:t>
            </w:r>
            <w:r>
              <w:t>and</w:t>
            </w:r>
            <w:r w:rsidRPr="00177501">
              <w:t xml:space="preserve"> Covid-19 recovery will play </w:t>
            </w:r>
            <w:r>
              <w:t>a key</w:t>
            </w:r>
            <w:r w:rsidRPr="00177501">
              <w:t xml:space="preserve"> role. </w:t>
            </w:r>
          </w:p>
          <w:p w14:paraId="57B5BB08" w14:textId="77777777" w:rsidR="00E51577" w:rsidRPr="00177501" w:rsidRDefault="00E51577" w:rsidP="00E51577">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The </w:t>
            </w:r>
            <w:r>
              <w:rPr>
                <w:b/>
                <w:bCs/>
              </w:rPr>
              <w:t>j</w:t>
            </w:r>
            <w:r w:rsidRPr="00177501">
              <w:rPr>
                <w:b/>
                <w:bCs/>
              </w:rPr>
              <w:t>ob impact</w:t>
            </w:r>
            <w:r w:rsidRPr="00177501">
              <w:t xml:space="preserve"> of energy efficiency needs to be </w:t>
            </w:r>
            <w:r>
              <w:t xml:space="preserve">better </w:t>
            </w:r>
            <w:r w:rsidRPr="00177501">
              <w:t>communicated</w:t>
            </w:r>
            <w:r>
              <w:t>. Creating</w:t>
            </w:r>
            <w:r w:rsidRPr="00177501">
              <w:t xml:space="preserve"> educational and transformational jobs, educating pupils on </w:t>
            </w:r>
            <w:r>
              <w:t xml:space="preserve">the </w:t>
            </w:r>
            <w:r w:rsidRPr="00177501">
              <w:t xml:space="preserve">energy transition and energy efficiency issues, convincing young people to </w:t>
            </w:r>
            <w:r>
              <w:t>choose</w:t>
            </w:r>
            <w:r w:rsidRPr="00177501">
              <w:t xml:space="preserve"> related</w:t>
            </w:r>
            <w:r>
              <w:t xml:space="preserve"> professions</w:t>
            </w:r>
            <w:r w:rsidRPr="00177501">
              <w:t xml:space="preserve">, </w:t>
            </w:r>
            <w:r>
              <w:t>and developing</w:t>
            </w:r>
            <w:r w:rsidRPr="00177501">
              <w:t xml:space="preserve"> new job</w:t>
            </w:r>
            <w:r>
              <w:t>s</w:t>
            </w:r>
            <w:r w:rsidRPr="00177501">
              <w:t xml:space="preserve"> (e.g.</w:t>
            </w:r>
            <w:r>
              <w:t xml:space="preserve"> </w:t>
            </w:r>
            <w:r w:rsidRPr="00177501">
              <w:t>mechatronics, craftsmen)</w:t>
            </w:r>
            <w:r>
              <w:t xml:space="preserve"> is key</w:t>
            </w:r>
            <w:r w:rsidRPr="00177501">
              <w:t xml:space="preserve">. Energy efficiency and energy savings measures should be </w:t>
            </w:r>
            <w:r>
              <w:t>a</w:t>
            </w:r>
            <w:r w:rsidRPr="00177501">
              <w:t xml:space="preserve"> focus of </w:t>
            </w:r>
            <w:r w:rsidRPr="00177501">
              <w:rPr>
                <w:b/>
                <w:bCs/>
              </w:rPr>
              <w:t>education and training.</w:t>
            </w:r>
          </w:p>
          <w:p w14:paraId="71D514FE" w14:textId="77777777" w:rsidR="00E51577" w:rsidRPr="00177501" w:rsidRDefault="00E51577" w:rsidP="00E51577">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pPr>
            <w:r w:rsidRPr="00177501">
              <w:rPr>
                <w:b/>
                <w:bCs/>
              </w:rPr>
              <w:t xml:space="preserve">Energy poverty </w:t>
            </w:r>
            <w:r w:rsidRPr="00177501">
              <w:t xml:space="preserve">is </w:t>
            </w:r>
            <w:r>
              <w:t>regarded as</w:t>
            </w:r>
            <w:r w:rsidRPr="00177501">
              <w:t xml:space="preserve"> </w:t>
            </w:r>
            <w:r>
              <w:t xml:space="preserve">one </w:t>
            </w:r>
            <w:r w:rsidRPr="00177501">
              <w:t>of the central issues in France</w:t>
            </w:r>
            <w:r>
              <w:t>.</w:t>
            </w:r>
            <w:r w:rsidRPr="00177501">
              <w:t xml:space="preserve"> </w:t>
            </w:r>
            <w:r>
              <w:t xml:space="preserve">The </w:t>
            </w:r>
            <w:r w:rsidRPr="00177501">
              <w:t xml:space="preserve">cost issue needs to be </w:t>
            </w:r>
            <w:r>
              <w:t xml:space="preserve">addressed, </w:t>
            </w:r>
            <w:r w:rsidRPr="00177501">
              <w:t xml:space="preserve">especially </w:t>
            </w:r>
            <w:r>
              <w:t xml:space="preserve">with regards to the needs of low-income households. This includes matters of </w:t>
            </w:r>
            <w:r w:rsidRPr="00177501">
              <w:t>social housing,</w:t>
            </w:r>
            <w:r>
              <w:t xml:space="preserve"> affordable energy renovations and </w:t>
            </w:r>
            <w:r w:rsidRPr="00177501">
              <w:t>financial tools for thermal renovation of houses and condominiums</w:t>
            </w:r>
            <w:r>
              <w:t>. Affordability and environmental considerations of m</w:t>
            </w:r>
            <w:r w:rsidRPr="00177501">
              <w:t xml:space="preserve">obility </w:t>
            </w:r>
            <w:r>
              <w:t>is another topic area with</w:t>
            </w:r>
            <w:r w:rsidRPr="00177501">
              <w:t xml:space="preserve"> big discrepancies between rural and urban </w:t>
            </w:r>
            <w:r>
              <w:t>populations.</w:t>
            </w:r>
            <w:r w:rsidRPr="00177501">
              <w:t xml:space="preserve"> </w:t>
            </w:r>
          </w:p>
          <w:p w14:paraId="1693547B" w14:textId="77777777" w:rsidR="00E51577" w:rsidRPr="00177501" w:rsidRDefault="00E51577" w:rsidP="00E51577">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There is a need to </w:t>
            </w:r>
            <w:r w:rsidRPr="00177501">
              <w:t>aggregate multifamily houses</w:t>
            </w:r>
            <w:r>
              <w:t xml:space="preserve"> for upscaling energy renovations and to develop approaches on how to organise these on the level of regions.</w:t>
            </w:r>
          </w:p>
          <w:p w14:paraId="2D1C9E12" w14:textId="77777777" w:rsidR="00E51577" w:rsidRDefault="00E51577" w:rsidP="00E51577">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pPr>
            <w:r>
              <w:rPr>
                <w:b/>
                <w:bCs/>
              </w:rPr>
              <w:t>Stimulating b</w:t>
            </w:r>
            <w:r w:rsidRPr="00177501">
              <w:rPr>
                <w:b/>
                <w:bCs/>
              </w:rPr>
              <w:t>ehavioural change</w:t>
            </w:r>
            <w:r>
              <w:rPr>
                <w:b/>
                <w:bCs/>
              </w:rPr>
              <w:t xml:space="preserve"> </w:t>
            </w:r>
            <w:r>
              <w:t>is seen as a further component of addressing energy poverty. P</w:t>
            </w:r>
            <w:r w:rsidRPr="00177501">
              <w:t xml:space="preserve">ositive compensation of the individuals </w:t>
            </w:r>
            <w:r>
              <w:t>should</w:t>
            </w:r>
            <w:r w:rsidRPr="00177501">
              <w:t xml:space="preserve"> be </w:t>
            </w:r>
            <w:r>
              <w:t xml:space="preserve">a </w:t>
            </w:r>
            <w:r w:rsidRPr="00177501">
              <w:t>focus</w:t>
            </w:r>
            <w:r>
              <w:t>, as well as developing attractive attributes and a corresponding image of energy efficiency solutions, e.g. with regards to smartness.</w:t>
            </w:r>
          </w:p>
          <w:p w14:paraId="3DE8D289" w14:textId="77777777" w:rsidR="00E51577" w:rsidRPr="00177501" w:rsidRDefault="00E51577" w:rsidP="00E51577">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pPr>
            <w:r w:rsidRPr="00177501">
              <w:t xml:space="preserve">Maintenance requirements (operated by service providers) and associated costs for </w:t>
            </w:r>
            <w:r w:rsidRPr="00177501">
              <w:rPr>
                <w:b/>
                <w:bCs/>
              </w:rPr>
              <w:t>smart homes</w:t>
            </w:r>
            <w:r w:rsidRPr="00177501">
              <w:t xml:space="preserve"> (as part of a renovation) need to be communicated and </w:t>
            </w:r>
            <w:r>
              <w:t xml:space="preserve">made </w:t>
            </w:r>
            <w:r w:rsidRPr="00177501">
              <w:t>transparent to increase acceptance for new technologies and the energy transition</w:t>
            </w:r>
          </w:p>
          <w:p w14:paraId="7ADD17BD" w14:textId="27E19BE0" w:rsidR="00FF1B08" w:rsidRPr="00070563" w:rsidRDefault="00E51577" w:rsidP="00E51577">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pPr>
            <w:r>
              <w:t>For a holistic approach, the link b</w:t>
            </w:r>
            <w:r w:rsidRPr="00177501">
              <w:t xml:space="preserve">etween </w:t>
            </w:r>
            <w:r w:rsidRPr="00683AA3">
              <w:rPr>
                <w:b/>
                <w:bCs/>
              </w:rPr>
              <w:t xml:space="preserve">circular economy </w:t>
            </w:r>
            <w:r w:rsidRPr="00177501">
              <w:t>and energy efficiency</w:t>
            </w:r>
            <w:r>
              <w:t xml:space="preserve"> should be kept in mind</w:t>
            </w:r>
            <w:r w:rsidRPr="00177501">
              <w:t xml:space="preserve">, especially concerning </w:t>
            </w:r>
            <w:r>
              <w:t>insu</w:t>
            </w:r>
            <w:r w:rsidRPr="00177501">
              <w:t>lation materials</w:t>
            </w:r>
            <w:r>
              <w:t>.</w:t>
            </w:r>
          </w:p>
        </w:tc>
      </w:tr>
      <w:tr w:rsidR="00C02E5B" w14:paraId="070A1BFA" w14:textId="77777777" w:rsidTr="00E51577">
        <w:tc>
          <w:tcPr>
            <w:cnfStyle w:val="001000000000" w:firstRow="0" w:lastRow="0" w:firstColumn="1" w:lastColumn="0" w:oddVBand="0" w:evenVBand="0" w:oddHBand="0" w:evenHBand="0" w:firstRowFirstColumn="0" w:firstRowLastColumn="0" w:lastRowFirstColumn="0" w:lastRowLastColumn="0"/>
            <w:tcW w:w="2449" w:type="dxa"/>
            <w:tcBorders>
              <w:right w:val="single" w:sz="4" w:space="0" w:color="FFD966" w:themeColor="accent4" w:themeTint="99"/>
            </w:tcBorders>
            <w:hideMark/>
          </w:tcPr>
          <w:p w14:paraId="6370274C" w14:textId="4E1B8FDA" w:rsidR="005D1CBF" w:rsidRDefault="00FF1B08">
            <w:pPr>
              <w:rPr>
                <w:rFonts w:asciiTheme="majorHAnsi" w:eastAsiaTheme="majorEastAsia" w:hAnsiTheme="majorHAnsi" w:cstheme="majorBidi"/>
                <w:sz w:val="26"/>
                <w:szCs w:val="26"/>
              </w:rPr>
            </w:pPr>
            <w:r>
              <w:rPr>
                <w:rFonts w:asciiTheme="majorHAnsi" w:eastAsiaTheme="majorEastAsia" w:hAnsiTheme="majorHAnsi" w:cstheme="majorBidi"/>
                <w:sz w:val="26"/>
                <w:szCs w:val="26"/>
              </w:rPr>
              <w:lastRenderedPageBreak/>
              <w:t>Programme</w:t>
            </w:r>
            <w:r w:rsidR="005D1CBF">
              <w:rPr>
                <w:rFonts w:asciiTheme="majorHAnsi" w:eastAsiaTheme="majorEastAsia" w:hAnsiTheme="majorHAnsi" w:cstheme="majorBidi"/>
                <w:sz w:val="26"/>
                <w:szCs w:val="26"/>
              </w:rPr>
              <w:t xml:space="preserve"> </w:t>
            </w:r>
          </w:p>
        </w:tc>
        <w:tc>
          <w:tcPr>
            <w:tcW w:w="690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Pr>
          <w:p w14:paraId="372C52B8" w14:textId="5EBDC4B7" w:rsidR="003652B8" w:rsidRPr="003652B8" w:rsidRDefault="003652B8" w:rsidP="003652B8">
            <w:pPr>
              <w:cnfStyle w:val="000000000000" w:firstRow="0" w:lastRow="0" w:firstColumn="0" w:lastColumn="0" w:oddVBand="0" w:evenVBand="0" w:oddHBand="0" w:evenHBand="0" w:firstRowFirstColumn="0" w:firstRowLastColumn="0" w:lastRowFirstColumn="0" w:lastRowLastColumn="0"/>
              <w:rPr>
                <w:rFonts w:eastAsia="Times New Roman"/>
                <w:b/>
                <w:bCs/>
              </w:rPr>
            </w:pPr>
            <w:r w:rsidRPr="003652B8">
              <w:rPr>
                <w:rFonts w:eastAsia="Times New Roman"/>
                <w:sz w:val="12"/>
                <w:szCs w:val="12"/>
              </w:rPr>
              <w:br/>
            </w:r>
            <w:r w:rsidR="00B45D04">
              <w:rPr>
                <w:rFonts w:eastAsia="Times New Roman"/>
              </w:rPr>
              <w:t>Online event</w:t>
            </w:r>
            <w:r w:rsidRPr="003652B8">
              <w:rPr>
                <w:rFonts w:eastAsia="Times New Roman"/>
              </w:rPr>
              <w:t xml:space="preserve">: </w:t>
            </w:r>
            <w:r w:rsidR="00DE28D6" w:rsidRPr="00DE28D6">
              <w:rPr>
                <w:rFonts w:eastAsia="Times New Roman"/>
              </w:rPr>
              <w:t>8 June 2021, 14:00 – 16:00</w:t>
            </w:r>
            <w:r w:rsidR="00E51577">
              <w:rPr>
                <w:rFonts w:eastAsia="Times New Roman"/>
              </w:rPr>
              <w:t xml:space="preserve"> CEST</w:t>
            </w:r>
            <w:r w:rsidRPr="003652B8">
              <w:rPr>
                <w:rFonts w:eastAsia="Times New Roman"/>
              </w:rPr>
              <w:br/>
            </w:r>
            <w:r w:rsidR="00DE28D6" w:rsidRPr="00DE28D6">
              <w:rPr>
                <w:rFonts w:eastAsia="Times New Roman"/>
                <w:b/>
                <w:bCs/>
              </w:rPr>
              <w:t>Business perspectives on energy efficiency policy</w:t>
            </w:r>
          </w:p>
          <w:tbl>
            <w:tblPr>
              <w:tblW w:w="6690" w:type="dxa"/>
              <w:tblCellMar>
                <w:left w:w="0" w:type="dxa"/>
                <w:right w:w="0" w:type="dxa"/>
              </w:tblCellMar>
              <w:tblLook w:val="0400" w:firstRow="0" w:lastRow="0" w:firstColumn="0" w:lastColumn="0" w:noHBand="0" w:noVBand="1"/>
            </w:tblPr>
            <w:tblGrid>
              <w:gridCol w:w="1361"/>
              <w:gridCol w:w="5329"/>
            </w:tblGrid>
            <w:tr w:rsidR="003652B8" w:rsidRPr="003652B8" w14:paraId="79C9E7D6" w14:textId="77777777" w:rsidTr="003652B8">
              <w:trPr>
                <w:trHeight w:val="223"/>
              </w:trPr>
              <w:tc>
                <w:tcPr>
                  <w:tcW w:w="1361" w:type="dxa"/>
                  <w:shd w:val="clear" w:color="auto" w:fill="auto"/>
                  <w:tcMar>
                    <w:top w:w="72" w:type="dxa"/>
                    <w:left w:w="144" w:type="dxa"/>
                    <w:bottom w:w="72" w:type="dxa"/>
                    <w:right w:w="144" w:type="dxa"/>
                  </w:tcMar>
                  <w:hideMark/>
                </w:tcPr>
                <w:p w14:paraId="43B044CE" w14:textId="364CBA64" w:rsidR="003652B8" w:rsidRPr="003652B8" w:rsidRDefault="00E45C39" w:rsidP="003652B8">
                  <w:pPr>
                    <w:spacing w:line="240" w:lineRule="auto"/>
                    <w:rPr>
                      <w:sz w:val="18"/>
                      <w:szCs w:val="20"/>
                      <w:lang w:val="en-US"/>
                    </w:rPr>
                  </w:pPr>
                  <w:r>
                    <w:rPr>
                      <w:sz w:val="18"/>
                      <w:szCs w:val="20"/>
                      <w:lang w:val="de-DE"/>
                    </w:rPr>
                    <w:lastRenderedPageBreak/>
                    <w:t>14</w:t>
                  </w:r>
                  <w:r w:rsidR="003652B8" w:rsidRPr="003652B8">
                    <w:rPr>
                      <w:sz w:val="18"/>
                      <w:szCs w:val="20"/>
                      <w:lang w:val="de-DE"/>
                    </w:rPr>
                    <w:t xml:space="preserve">:00 – </w:t>
                  </w:r>
                  <w:r>
                    <w:rPr>
                      <w:sz w:val="18"/>
                      <w:szCs w:val="20"/>
                      <w:lang w:val="de-DE"/>
                    </w:rPr>
                    <w:t>14</w:t>
                  </w:r>
                  <w:r w:rsidR="003652B8" w:rsidRPr="003652B8">
                    <w:rPr>
                      <w:sz w:val="18"/>
                      <w:szCs w:val="20"/>
                      <w:lang w:val="de-DE"/>
                    </w:rPr>
                    <w:t>:05</w:t>
                  </w:r>
                </w:p>
              </w:tc>
              <w:tc>
                <w:tcPr>
                  <w:tcW w:w="5329" w:type="dxa"/>
                  <w:shd w:val="clear" w:color="auto" w:fill="auto"/>
                  <w:tcMar>
                    <w:top w:w="72" w:type="dxa"/>
                    <w:left w:w="144" w:type="dxa"/>
                    <w:bottom w:w="72" w:type="dxa"/>
                    <w:right w:w="144" w:type="dxa"/>
                  </w:tcMar>
                  <w:hideMark/>
                </w:tcPr>
                <w:p w14:paraId="5C4C64F5" w14:textId="77777777" w:rsidR="003652B8" w:rsidRPr="003652B8" w:rsidRDefault="003652B8" w:rsidP="003652B8">
                  <w:pPr>
                    <w:spacing w:after="0" w:line="240" w:lineRule="auto"/>
                    <w:rPr>
                      <w:b/>
                      <w:bCs/>
                      <w:sz w:val="18"/>
                      <w:szCs w:val="20"/>
                      <w:lang w:val="en-US"/>
                    </w:rPr>
                  </w:pPr>
                  <w:r w:rsidRPr="003652B8">
                    <w:rPr>
                      <w:b/>
                      <w:bCs/>
                      <w:sz w:val="18"/>
                      <w:szCs w:val="20"/>
                      <w:lang w:val="en-US"/>
                    </w:rPr>
                    <w:t>Introduction</w:t>
                  </w:r>
                </w:p>
              </w:tc>
            </w:tr>
            <w:tr w:rsidR="003652B8" w:rsidRPr="00960027" w14:paraId="75E98594" w14:textId="77777777" w:rsidTr="003652B8">
              <w:trPr>
                <w:trHeight w:val="223"/>
              </w:trPr>
              <w:tc>
                <w:tcPr>
                  <w:tcW w:w="1361" w:type="dxa"/>
                  <w:shd w:val="clear" w:color="auto" w:fill="auto"/>
                  <w:tcMar>
                    <w:top w:w="72" w:type="dxa"/>
                    <w:left w:w="144" w:type="dxa"/>
                    <w:bottom w:w="72" w:type="dxa"/>
                    <w:right w:w="144" w:type="dxa"/>
                  </w:tcMar>
                </w:tcPr>
                <w:p w14:paraId="51CFFEF8" w14:textId="149CABDA" w:rsidR="003652B8" w:rsidRPr="003652B8" w:rsidRDefault="00E45C39" w:rsidP="003652B8">
                  <w:pPr>
                    <w:spacing w:line="240" w:lineRule="auto"/>
                    <w:rPr>
                      <w:sz w:val="18"/>
                      <w:szCs w:val="20"/>
                      <w:lang w:val="de-DE"/>
                    </w:rPr>
                  </w:pPr>
                  <w:r>
                    <w:rPr>
                      <w:sz w:val="18"/>
                      <w:szCs w:val="20"/>
                      <w:lang w:val="de-DE"/>
                    </w:rPr>
                    <w:t>14</w:t>
                  </w:r>
                  <w:r w:rsidR="003652B8" w:rsidRPr="003652B8">
                    <w:rPr>
                      <w:sz w:val="18"/>
                      <w:szCs w:val="20"/>
                      <w:lang w:val="de-DE"/>
                    </w:rPr>
                    <w:t xml:space="preserve">:05 – </w:t>
                  </w:r>
                  <w:r>
                    <w:rPr>
                      <w:sz w:val="18"/>
                      <w:szCs w:val="20"/>
                      <w:lang w:val="de-DE"/>
                    </w:rPr>
                    <w:t>14</w:t>
                  </w:r>
                  <w:r w:rsidR="003652B8" w:rsidRPr="003652B8">
                    <w:rPr>
                      <w:sz w:val="18"/>
                      <w:szCs w:val="20"/>
                      <w:lang w:val="de-DE"/>
                    </w:rPr>
                    <w:t>:20</w:t>
                  </w:r>
                </w:p>
              </w:tc>
              <w:tc>
                <w:tcPr>
                  <w:tcW w:w="5329" w:type="dxa"/>
                  <w:shd w:val="clear" w:color="auto" w:fill="auto"/>
                  <w:tcMar>
                    <w:top w:w="72" w:type="dxa"/>
                    <w:left w:w="144" w:type="dxa"/>
                    <w:bottom w:w="72" w:type="dxa"/>
                    <w:right w:w="144" w:type="dxa"/>
                  </w:tcMar>
                </w:tcPr>
                <w:p w14:paraId="33E1BBAC" w14:textId="48135A3E" w:rsidR="003652B8" w:rsidRPr="00E51577" w:rsidRDefault="003652B8" w:rsidP="003652B8">
                  <w:pPr>
                    <w:spacing w:after="0" w:line="240" w:lineRule="auto"/>
                    <w:rPr>
                      <w:b/>
                      <w:bCs/>
                      <w:sz w:val="18"/>
                      <w:szCs w:val="20"/>
                      <w:lang w:val="fr-FR"/>
                    </w:rPr>
                  </w:pPr>
                  <w:r w:rsidRPr="00E51577">
                    <w:rPr>
                      <w:b/>
                      <w:bCs/>
                      <w:sz w:val="18"/>
                      <w:szCs w:val="20"/>
                      <w:lang w:val="fr-FR"/>
                    </w:rPr>
                    <w:t xml:space="preserve">Welcome note: </w:t>
                  </w:r>
                  <w:r w:rsidR="00E45C39" w:rsidRPr="00E51577">
                    <w:rPr>
                      <w:b/>
                      <w:bCs/>
                      <w:sz w:val="18"/>
                      <w:szCs w:val="20"/>
                      <w:lang w:val="fr-FR"/>
                    </w:rPr>
                    <w:t>Marie-Laure Falque-Masset</w:t>
                  </w:r>
                  <w:r w:rsidRPr="00E51577">
                    <w:rPr>
                      <w:b/>
                      <w:bCs/>
                      <w:sz w:val="18"/>
                      <w:szCs w:val="20"/>
                      <w:lang w:val="fr-FR"/>
                    </w:rPr>
                    <w:t xml:space="preserve">, </w:t>
                  </w:r>
                  <w:r w:rsidR="00E45C39" w:rsidRPr="00E51577">
                    <w:rPr>
                      <w:b/>
                      <w:bCs/>
                      <w:sz w:val="18"/>
                      <w:szCs w:val="20"/>
                      <w:lang w:val="fr-FR"/>
                    </w:rPr>
                    <w:t>AREC</w:t>
                  </w:r>
                </w:p>
              </w:tc>
            </w:tr>
            <w:tr w:rsidR="003652B8" w:rsidRPr="003652B8" w14:paraId="745E25DC" w14:textId="77777777" w:rsidTr="003652B8">
              <w:trPr>
                <w:trHeight w:val="510"/>
              </w:trPr>
              <w:tc>
                <w:tcPr>
                  <w:tcW w:w="1361" w:type="dxa"/>
                  <w:shd w:val="clear" w:color="auto" w:fill="auto"/>
                  <w:tcMar>
                    <w:top w:w="72" w:type="dxa"/>
                    <w:left w:w="144" w:type="dxa"/>
                    <w:bottom w:w="72" w:type="dxa"/>
                    <w:right w:w="144" w:type="dxa"/>
                  </w:tcMar>
                  <w:hideMark/>
                </w:tcPr>
                <w:p w14:paraId="1AB685A4" w14:textId="78A85416" w:rsidR="003652B8" w:rsidRPr="003652B8" w:rsidRDefault="00E45C39" w:rsidP="003652B8">
                  <w:pPr>
                    <w:spacing w:line="240" w:lineRule="auto"/>
                    <w:rPr>
                      <w:sz w:val="18"/>
                      <w:szCs w:val="20"/>
                      <w:lang w:val="en-US"/>
                    </w:rPr>
                  </w:pPr>
                  <w:r>
                    <w:rPr>
                      <w:sz w:val="18"/>
                      <w:szCs w:val="20"/>
                      <w:lang w:val="de-DE"/>
                    </w:rPr>
                    <w:t>14</w:t>
                  </w:r>
                  <w:r w:rsidR="003652B8" w:rsidRPr="003652B8">
                    <w:rPr>
                      <w:sz w:val="18"/>
                      <w:szCs w:val="20"/>
                      <w:lang w:val="de-DE"/>
                    </w:rPr>
                    <w:t xml:space="preserve">:20 – </w:t>
                  </w:r>
                  <w:r>
                    <w:rPr>
                      <w:sz w:val="18"/>
                      <w:szCs w:val="20"/>
                      <w:lang w:val="de-DE"/>
                    </w:rPr>
                    <w:t>14</w:t>
                  </w:r>
                  <w:r w:rsidR="003652B8" w:rsidRPr="003652B8">
                    <w:rPr>
                      <w:sz w:val="18"/>
                      <w:szCs w:val="20"/>
                      <w:lang w:val="de-DE"/>
                    </w:rPr>
                    <w:t>:30</w:t>
                  </w:r>
                </w:p>
              </w:tc>
              <w:tc>
                <w:tcPr>
                  <w:tcW w:w="5329" w:type="dxa"/>
                  <w:shd w:val="clear" w:color="auto" w:fill="auto"/>
                  <w:tcMar>
                    <w:top w:w="72" w:type="dxa"/>
                    <w:left w:w="144" w:type="dxa"/>
                    <w:bottom w:w="72" w:type="dxa"/>
                    <w:right w:w="144" w:type="dxa"/>
                  </w:tcMar>
                  <w:hideMark/>
                </w:tcPr>
                <w:p w14:paraId="67319641" w14:textId="34D69E44" w:rsidR="003652B8" w:rsidRPr="003652B8" w:rsidRDefault="003652B8" w:rsidP="003652B8">
                  <w:pPr>
                    <w:spacing w:line="240" w:lineRule="auto"/>
                    <w:rPr>
                      <w:b/>
                      <w:sz w:val="18"/>
                      <w:szCs w:val="20"/>
                      <w:lang w:val="en-US"/>
                    </w:rPr>
                  </w:pPr>
                  <w:r w:rsidRPr="003652B8">
                    <w:rPr>
                      <w:b/>
                      <w:sz w:val="18"/>
                      <w:szCs w:val="20"/>
                      <w:lang w:val="en-US"/>
                    </w:rPr>
                    <w:t xml:space="preserve">Background: Energy Efficiency Policy &amp; Energy Efficiency Watch </w:t>
                  </w:r>
                </w:p>
              </w:tc>
            </w:tr>
            <w:tr w:rsidR="003652B8" w:rsidRPr="003652B8" w14:paraId="5E24261A" w14:textId="77777777" w:rsidTr="003652B8">
              <w:trPr>
                <w:trHeight w:val="399"/>
              </w:trPr>
              <w:tc>
                <w:tcPr>
                  <w:tcW w:w="1361" w:type="dxa"/>
                  <w:shd w:val="clear" w:color="auto" w:fill="auto"/>
                  <w:tcMar>
                    <w:top w:w="72" w:type="dxa"/>
                    <w:left w:w="144" w:type="dxa"/>
                    <w:bottom w:w="72" w:type="dxa"/>
                    <w:right w:w="144" w:type="dxa"/>
                  </w:tcMar>
                </w:tcPr>
                <w:p w14:paraId="5ADF587D" w14:textId="038BD071" w:rsidR="003652B8" w:rsidRPr="003652B8" w:rsidRDefault="00E45C39" w:rsidP="003652B8">
                  <w:pPr>
                    <w:spacing w:line="240" w:lineRule="auto"/>
                    <w:rPr>
                      <w:sz w:val="18"/>
                      <w:szCs w:val="20"/>
                      <w:lang w:val="de-DE"/>
                    </w:rPr>
                  </w:pPr>
                  <w:r>
                    <w:rPr>
                      <w:sz w:val="18"/>
                      <w:szCs w:val="20"/>
                      <w:lang w:val="de-DE"/>
                    </w:rPr>
                    <w:t>14</w:t>
                  </w:r>
                  <w:r w:rsidR="003652B8" w:rsidRPr="003652B8">
                    <w:rPr>
                      <w:sz w:val="18"/>
                      <w:szCs w:val="20"/>
                      <w:lang w:val="de-DE"/>
                    </w:rPr>
                    <w:t xml:space="preserve">:30 – </w:t>
                  </w:r>
                  <w:r>
                    <w:rPr>
                      <w:sz w:val="18"/>
                      <w:szCs w:val="20"/>
                      <w:lang w:val="de-DE"/>
                    </w:rPr>
                    <w:t>14</w:t>
                  </w:r>
                  <w:r w:rsidR="003652B8" w:rsidRPr="003652B8">
                    <w:rPr>
                      <w:sz w:val="18"/>
                      <w:szCs w:val="20"/>
                      <w:lang w:val="de-DE"/>
                    </w:rPr>
                    <w:t>:45</w:t>
                  </w:r>
                </w:p>
              </w:tc>
              <w:tc>
                <w:tcPr>
                  <w:tcW w:w="5329" w:type="dxa"/>
                  <w:shd w:val="clear" w:color="auto" w:fill="auto"/>
                  <w:tcMar>
                    <w:top w:w="72" w:type="dxa"/>
                    <w:left w:w="144" w:type="dxa"/>
                    <w:bottom w:w="72" w:type="dxa"/>
                    <w:right w:w="144" w:type="dxa"/>
                  </w:tcMar>
                </w:tcPr>
                <w:p w14:paraId="0DADC325" w14:textId="5C184CAD" w:rsidR="003652B8" w:rsidRPr="003652B8" w:rsidRDefault="00E45C39" w:rsidP="003652B8">
                  <w:pPr>
                    <w:spacing w:line="240" w:lineRule="auto"/>
                    <w:rPr>
                      <w:b/>
                      <w:bCs/>
                      <w:sz w:val="18"/>
                      <w:szCs w:val="20"/>
                      <w:lang w:val="en-US"/>
                    </w:rPr>
                  </w:pPr>
                  <w:r>
                    <w:rPr>
                      <w:b/>
                      <w:bCs/>
                      <w:sz w:val="18"/>
                      <w:szCs w:val="20"/>
                      <w:lang w:val="en-US"/>
                    </w:rPr>
                    <w:t>Tour de table</w:t>
                  </w:r>
                </w:p>
              </w:tc>
            </w:tr>
            <w:tr w:rsidR="003652B8" w:rsidRPr="003652B8" w14:paraId="2FC13D8F" w14:textId="77777777" w:rsidTr="003652B8">
              <w:trPr>
                <w:trHeight w:val="399"/>
              </w:trPr>
              <w:tc>
                <w:tcPr>
                  <w:tcW w:w="1361" w:type="dxa"/>
                  <w:shd w:val="clear" w:color="auto" w:fill="auto"/>
                  <w:tcMar>
                    <w:top w:w="72" w:type="dxa"/>
                    <w:left w:w="144" w:type="dxa"/>
                    <w:bottom w:w="72" w:type="dxa"/>
                    <w:right w:w="144" w:type="dxa"/>
                  </w:tcMar>
                </w:tcPr>
                <w:p w14:paraId="2BD68E1C" w14:textId="623A418E" w:rsidR="003652B8" w:rsidRPr="003652B8" w:rsidRDefault="00E45C39" w:rsidP="003652B8">
                  <w:pPr>
                    <w:spacing w:line="240" w:lineRule="auto"/>
                    <w:rPr>
                      <w:sz w:val="18"/>
                      <w:szCs w:val="20"/>
                      <w:lang w:val="de-DE"/>
                    </w:rPr>
                  </w:pPr>
                  <w:r>
                    <w:rPr>
                      <w:sz w:val="18"/>
                      <w:szCs w:val="20"/>
                      <w:lang w:val="de-DE"/>
                    </w:rPr>
                    <w:t>14</w:t>
                  </w:r>
                  <w:r w:rsidR="003652B8" w:rsidRPr="003652B8">
                    <w:rPr>
                      <w:sz w:val="18"/>
                      <w:szCs w:val="20"/>
                      <w:lang w:val="de-DE"/>
                    </w:rPr>
                    <w:t xml:space="preserve">:45 – </w:t>
                  </w:r>
                  <w:r>
                    <w:rPr>
                      <w:sz w:val="18"/>
                      <w:szCs w:val="20"/>
                      <w:lang w:val="de-DE"/>
                    </w:rPr>
                    <w:t>15</w:t>
                  </w:r>
                  <w:r w:rsidR="003652B8" w:rsidRPr="003652B8">
                    <w:rPr>
                      <w:sz w:val="18"/>
                      <w:szCs w:val="20"/>
                      <w:lang w:val="de-DE"/>
                    </w:rPr>
                    <w:t>:</w:t>
                  </w:r>
                  <w:r>
                    <w:rPr>
                      <w:sz w:val="18"/>
                      <w:szCs w:val="20"/>
                      <w:lang w:val="de-DE"/>
                    </w:rPr>
                    <w:t>45</w:t>
                  </w:r>
                </w:p>
              </w:tc>
              <w:tc>
                <w:tcPr>
                  <w:tcW w:w="5329" w:type="dxa"/>
                  <w:shd w:val="clear" w:color="auto" w:fill="auto"/>
                  <w:tcMar>
                    <w:top w:w="72" w:type="dxa"/>
                    <w:left w:w="144" w:type="dxa"/>
                    <w:bottom w:w="72" w:type="dxa"/>
                    <w:right w:w="144" w:type="dxa"/>
                  </w:tcMar>
                </w:tcPr>
                <w:p w14:paraId="2BDF475B" w14:textId="04245BF3" w:rsidR="003652B8" w:rsidRPr="003652B8" w:rsidRDefault="00E45C39" w:rsidP="003652B8">
                  <w:pPr>
                    <w:spacing w:line="240" w:lineRule="auto"/>
                    <w:rPr>
                      <w:b/>
                      <w:sz w:val="18"/>
                      <w:szCs w:val="20"/>
                      <w:lang w:val="en-US"/>
                    </w:rPr>
                  </w:pPr>
                  <w:r>
                    <w:rPr>
                      <w:b/>
                      <w:bCs/>
                      <w:sz w:val="18"/>
                      <w:szCs w:val="20"/>
                      <w:lang w:val="en-US"/>
                    </w:rPr>
                    <w:t>D</w:t>
                  </w:r>
                  <w:r w:rsidR="003652B8" w:rsidRPr="003652B8">
                    <w:rPr>
                      <w:b/>
                      <w:bCs/>
                      <w:sz w:val="18"/>
                      <w:szCs w:val="20"/>
                      <w:lang w:val="en-US"/>
                    </w:rPr>
                    <w:t>iscussion</w:t>
                  </w:r>
                  <w:r w:rsidR="003652B8" w:rsidRPr="003652B8">
                    <w:rPr>
                      <w:b/>
                      <w:sz w:val="18"/>
                      <w:szCs w:val="20"/>
                      <w:lang w:val="en-US"/>
                    </w:rPr>
                    <w:t xml:space="preserve">: </w:t>
                  </w:r>
                  <w:r w:rsidR="003652B8" w:rsidRPr="003652B8">
                    <w:rPr>
                      <w:b/>
                      <w:sz w:val="18"/>
                      <w:szCs w:val="20"/>
                      <w:lang w:val="en-US"/>
                    </w:rPr>
                    <w:br/>
                    <w:t>Drivers for successful energy efficiency implementation</w:t>
                  </w:r>
                </w:p>
              </w:tc>
            </w:tr>
            <w:tr w:rsidR="003652B8" w:rsidRPr="003652B8" w14:paraId="088E171D" w14:textId="77777777" w:rsidTr="003652B8">
              <w:trPr>
                <w:trHeight w:val="399"/>
              </w:trPr>
              <w:tc>
                <w:tcPr>
                  <w:tcW w:w="1361" w:type="dxa"/>
                  <w:shd w:val="clear" w:color="auto" w:fill="auto"/>
                  <w:tcMar>
                    <w:top w:w="72" w:type="dxa"/>
                    <w:left w:w="144" w:type="dxa"/>
                    <w:bottom w:w="72" w:type="dxa"/>
                    <w:right w:w="144" w:type="dxa"/>
                  </w:tcMar>
                </w:tcPr>
                <w:p w14:paraId="23636613" w14:textId="72C6125C" w:rsidR="003652B8" w:rsidRPr="00504BCE" w:rsidRDefault="00E45C39" w:rsidP="003652B8">
                  <w:pPr>
                    <w:spacing w:line="240" w:lineRule="auto"/>
                    <w:rPr>
                      <w:sz w:val="18"/>
                      <w:szCs w:val="20"/>
                      <w:lang w:val="en-US"/>
                    </w:rPr>
                  </w:pPr>
                  <w:r>
                    <w:rPr>
                      <w:sz w:val="18"/>
                      <w:szCs w:val="20"/>
                      <w:lang w:val="en-US"/>
                    </w:rPr>
                    <w:t>15</w:t>
                  </w:r>
                  <w:r w:rsidR="003652B8" w:rsidRPr="00504BCE">
                    <w:rPr>
                      <w:sz w:val="18"/>
                      <w:szCs w:val="20"/>
                      <w:lang w:val="en-US"/>
                    </w:rPr>
                    <w:t>:</w:t>
                  </w:r>
                  <w:r>
                    <w:rPr>
                      <w:sz w:val="18"/>
                      <w:szCs w:val="20"/>
                      <w:lang w:val="en-US"/>
                    </w:rPr>
                    <w:t>45</w:t>
                  </w:r>
                  <w:r w:rsidR="003652B8" w:rsidRPr="00504BCE">
                    <w:rPr>
                      <w:sz w:val="18"/>
                      <w:szCs w:val="20"/>
                      <w:lang w:val="en-US"/>
                    </w:rPr>
                    <w:t xml:space="preserve"> – </w:t>
                  </w:r>
                  <w:r>
                    <w:rPr>
                      <w:sz w:val="18"/>
                      <w:szCs w:val="20"/>
                      <w:lang w:val="en-US"/>
                    </w:rPr>
                    <w:t>16:00</w:t>
                  </w:r>
                </w:p>
              </w:tc>
              <w:tc>
                <w:tcPr>
                  <w:tcW w:w="5329" w:type="dxa"/>
                  <w:shd w:val="clear" w:color="auto" w:fill="auto"/>
                  <w:tcMar>
                    <w:top w:w="72" w:type="dxa"/>
                    <w:left w:w="144" w:type="dxa"/>
                    <w:bottom w:w="72" w:type="dxa"/>
                    <w:right w:w="144" w:type="dxa"/>
                  </w:tcMar>
                </w:tcPr>
                <w:p w14:paraId="374FB98D" w14:textId="32D7D55D" w:rsidR="003652B8" w:rsidRPr="003652B8" w:rsidRDefault="00E45C39" w:rsidP="003652B8">
                  <w:pPr>
                    <w:spacing w:after="0" w:line="240" w:lineRule="auto"/>
                    <w:rPr>
                      <w:b/>
                      <w:sz w:val="18"/>
                      <w:szCs w:val="20"/>
                      <w:lang w:val="en-US"/>
                    </w:rPr>
                  </w:pPr>
                  <w:r>
                    <w:rPr>
                      <w:b/>
                      <w:sz w:val="18"/>
                      <w:szCs w:val="20"/>
                      <w:lang w:val="en-US"/>
                    </w:rPr>
                    <w:t>Reflection</w:t>
                  </w:r>
                </w:p>
              </w:tc>
            </w:tr>
          </w:tbl>
          <w:p w14:paraId="60A07735" w14:textId="48D83F12" w:rsidR="003652B8" w:rsidRPr="00B45D04" w:rsidRDefault="003652B8" w:rsidP="00B45D0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5D268EB1" w14:textId="10F96FAA" w:rsidR="00A23BF7" w:rsidRDefault="00A23BF7" w:rsidP="00C02E5B"/>
    <w:sectPr w:rsidR="00A23BF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0F390" w14:textId="77777777" w:rsidR="005D1CBF" w:rsidRDefault="005D1CBF" w:rsidP="005D1CBF">
      <w:pPr>
        <w:spacing w:after="0" w:line="240" w:lineRule="auto"/>
      </w:pPr>
      <w:r>
        <w:separator/>
      </w:r>
    </w:p>
  </w:endnote>
  <w:endnote w:type="continuationSeparator" w:id="0">
    <w:p w14:paraId="7C108895" w14:textId="77777777" w:rsidR="005D1CBF" w:rsidRDefault="005D1CBF" w:rsidP="005D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F486" w14:textId="77777777" w:rsidR="00FF1B08" w:rsidRPr="009B764B" w:rsidRDefault="00FF1B08" w:rsidP="00FF1B08">
    <w:pPr>
      <w:pStyle w:val="ListParagraph"/>
      <w:rPr>
        <w:rFonts w:cstheme="minorHAnsi"/>
        <w:i/>
        <w:iCs/>
        <w:sz w:val="16"/>
        <w:szCs w:val="16"/>
      </w:rPr>
    </w:pPr>
    <w:r w:rsidRPr="009B764B">
      <w:rPr>
        <w:noProof/>
        <w:sz w:val="16"/>
        <w:szCs w:val="16"/>
      </w:rPr>
      <w:drawing>
        <wp:anchor distT="0" distB="0" distL="114300" distR="114300" simplePos="0" relativeHeight="251660288" behindDoc="1" locked="0" layoutInCell="1" allowOverlap="1" wp14:anchorId="070B90FA" wp14:editId="61C57234">
          <wp:simplePos x="0" y="0"/>
          <wp:positionH relativeFrom="margin">
            <wp:align>left</wp:align>
          </wp:positionH>
          <wp:positionV relativeFrom="paragraph">
            <wp:posOffset>6350</wp:posOffset>
          </wp:positionV>
          <wp:extent cx="660400" cy="440690"/>
          <wp:effectExtent l="0" t="0" r="6350" b="0"/>
          <wp:wrapTight wrapText="bothSides">
            <wp:wrapPolygon edited="0">
              <wp:start x="0" y="0"/>
              <wp:lineTo x="0" y="20542"/>
              <wp:lineTo x="21185" y="20542"/>
              <wp:lineTo x="2118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_yellow_l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400" cy="440690"/>
                  </a:xfrm>
                  <a:prstGeom prst="rect">
                    <a:avLst/>
                  </a:prstGeom>
                </pic:spPr>
              </pic:pic>
            </a:graphicData>
          </a:graphic>
          <wp14:sizeRelH relativeFrom="margin">
            <wp14:pctWidth>0</wp14:pctWidth>
          </wp14:sizeRelH>
          <wp14:sizeRelV relativeFrom="margin">
            <wp14:pctHeight>0</wp14:pctHeight>
          </wp14:sizeRelV>
        </wp:anchor>
      </w:drawing>
    </w:r>
    <w:r w:rsidR="1748AF19" w:rsidRPr="1748AF19">
      <w:rPr>
        <w:i/>
        <w:iCs/>
        <w:sz w:val="16"/>
        <w:szCs w:val="16"/>
      </w:rPr>
      <w:t>“The project EEW4 has received funding from the European Union Horizon 2020 research and innovation programme under grant agreement No 847153”</w:t>
    </w:r>
  </w:p>
  <w:p w14:paraId="04BC292D" w14:textId="351038A3" w:rsidR="00FF1B08" w:rsidRPr="00FF1B08" w:rsidRDefault="00FF1B08" w:rsidP="00FF1B08">
    <w:pPr>
      <w:pStyle w:val="ListParagraph"/>
      <w:rPr>
        <w:rFonts w:cstheme="minorHAnsi"/>
        <w:i/>
        <w:iCs/>
        <w:sz w:val="16"/>
        <w:szCs w:val="16"/>
      </w:rPr>
    </w:pPr>
    <w:r w:rsidRPr="009B764B">
      <w:rPr>
        <w:rFonts w:cstheme="minorHAnsi"/>
        <w:i/>
        <w:iCs/>
        <w:sz w:val="16"/>
        <w:szCs w:val="16"/>
      </w:rPr>
      <w:t>The publication reflects only the author’s view and that the European Commission is not responsible for any use that may be made of the information it contains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36818" w14:textId="77777777" w:rsidR="005D1CBF" w:rsidRDefault="005D1CBF" w:rsidP="005D1CBF">
      <w:pPr>
        <w:spacing w:after="0" w:line="240" w:lineRule="auto"/>
      </w:pPr>
      <w:r>
        <w:separator/>
      </w:r>
    </w:p>
  </w:footnote>
  <w:footnote w:type="continuationSeparator" w:id="0">
    <w:p w14:paraId="76A484E3" w14:textId="77777777" w:rsidR="005D1CBF" w:rsidRDefault="005D1CBF" w:rsidP="005D1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F0EFC" w14:textId="63E8C7DE" w:rsidR="005D1CBF" w:rsidRDefault="1748AF19" w:rsidP="00FF1B08">
    <w:pPr>
      <w:pStyle w:val="Header"/>
      <w:jc w:val="right"/>
    </w:pPr>
    <w:r w:rsidRPr="1748AF19">
      <w:rPr>
        <w:i/>
        <w:iCs/>
      </w:rPr>
      <w:t>EEW4Project | Grant agreement number 847153</w:t>
    </w:r>
    <w:r w:rsidR="005D1CBF">
      <w:rPr>
        <w:noProof/>
      </w:rPr>
      <w:drawing>
        <wp:anchor distT="0" distB="0" distL="114300" distR="114300" simplePos="0" relativeHeight="251658240" behindDoc="1" locked="0" layoutInCell="1" allowOverlap="1" wp14:anchorId="1801913E" wp14:editId="4F0FC36C">
          <wp:simplePos x="0" y="0"/>
          <wp:positionH relativeFrom="column">
            <wp:posOffset>0</wp:posOffset>
          </wp:positionH>
          <wp:positionV relativeFrom="paragraph">
            <wp:posOffset>-635</wp:posOffset>
          </wp:positionV>
          <wp:extent cx="1362075" cy="868680"/>
          <wp:effectExtent l="0" t="0" r="9525" b="7620"/>
          <wp:wrapTight wrapText="bothSides">
            <wp:wrapPolygon edited="0">
              <wp:start x="0" y="0"/>
              <wp:lineTo x="0" y="21316"/>
              <wp:lineTo x="21449" y="21316"/>
              <wp:lineTo x="214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W_RGB_HR.jpg"/>
                  <pic:cNvPicPr/>
                </pic:nvPicPr>
                <pic:blipFill>
                  <a:blip r:embed="rId1">
                    <a:extLst>
                      <a:ext uri="{28A0092B-C50C-407E-A947-70E740481C1C}">
                        <a14:useLocalDpi xmlns:a14="http://schemas.microsoft.com/office/drawing/2010/main" val="0"/>
                      </a:ext>
                    </a:extLst>
                  </a:blip>
                  <a:stretch>
                    <a:fillRect/>
                  </a:stretch>
                </pic:blipFill>
                <pic:spPr>
                  <a:xfrm>
                    <a:off x="0" y="0"/>
                    <a:ext cx="1362075" cy="868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C5DE3"/>
    <w:multiLevelType w:val="hybridMultilevel"/>
    <w:tmpl w:val="2BBC3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D7A72"/>
    <w:multiLevelType w:val="hybridMultilevel"/>
    <w:tmpl w:val="721E8C4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0024AD"/>
    <w:multiLevelType w:val="hybridMultilevel"/>
    <w:tmpl w:val="FE189002"/>
    <w:lvl w:ilvl="0" w:tplc="1DAE157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E0E76"/>
    <w:multiLevelType w:val="hybridMultilevel"/>
    <w:tmpl w:val="0A0853F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32A7A"/>
    <w:multiLevelType w:val="hybridMultilevel"/>
    <w:tmpl w:val="87568470"/>
    <w:lvl w:ilvl="0" w:tplc="4000A6B2">
      <w:start w:val="1"/>
      <w:numFmt w:val="bullet"/>
      <w:lvlText w:val="•"/>
      <w:lvlJc w:val="left"/>
      <w:pPr>
        <w:tabs>
          <w:tab w:val="num" w:pos="720"/>
        </w:tabs>
        <w:ind w:left="720" w:hanging="360"/>
      </w:pPr>
      <w:rPr>
        <w:rFonts w:ascii="Arial" w:hAnsi="Arial" w:hint="default"/>
      </w:rPr>
    </w:lvl>
    <w:lvl w:ilvl="1" w:tplc="AE0806E2" w:tentative="1">
      <w:start w:val="1"/>
      <w:numFmt w:val="bullet"/>
      <w:lvlText w:val="•"/>
      <w:lvlJc w:val="left"/>
      <w:pPr>
        <w:tabs>
          <w:tab w:val="num" w:pos="1440"/>
        </w:tabs>
        <w:ind w:left="1440" w:hanging="360"/>
      </w:pPr>
      <w:rPr>
        <w:rFonts w:ascii="Arial" w:hAnsi="Arial" w:hint="default"/>
      </w:rPr>
    </w:lvl>
    <w:lvl w:ilvl="2" w:tplc="6BCCE7E8" w:tentative="1">
      <w:start w:val="1"/>
      <w:numFmt w:val="bullet"/>
      <w:lvlText w:val="•"/>
      <w:lvlJc w:val="left"/>
      <w:pPr>
        <w:tabs>
          <w:tab w:val="num" w:pos="2160"/>
        </w:tabs>
        <w:ind w:left="2160" w:hanging="360"/>
      </w:pPr>
      <w:rPr>
        <w:rFonts w:ascii="Arial" w:hAnsi="Arial" w:hint="default"/>
      </w:rPr>
    </w:lvl>
    <w:lvl w:ilvl="3" w:tplc="5EDA3A2A" w:tentative="1">
      <w:start w:val="1"/>
      <w:numFmt w:val="bullet"/>
      <w:lvlText w:val="•"/>
      <w:lvlJc w:val="left"/>
      <w:pPr>
        <w:tabs>
          <w:tab w:val="num" w:pos="2880"/>
        </w:tabs>
        <w:ind w:left="2880" w:hanging="360"/>
      </w:pPr>
      <w:rPr>
        <w:rFonts w:ascii="Arial" w:hAnsi="Arial" w:hint="default"/>
      </w:rPr>
    </w:lvl>
    <w:lvl w:ilvl="4" w:tplc="E550C8F0" w:tentative="1">
      <w:start w:val="1"/>
      <w:numFmt w:val="bullet"/>
      <w:lvlText w:val="•"/>
      <w:lvlJc w:val="left"/>
      <w:pPr>
        <w:tabs>
          <w:tab w:val="num" w:pos="3600"/>
        </w:tabs>
        <w:ind w:left="3600" w:hanging="360"/>
      </w:pPr>
      <w:rPr>
        <w:rFonts w:ascii="Arial" w:hAnsi="Arial" w:hint="default"/>
      </w:rPr>
    </w:lvl>
    <w:lvl w:ilvl="5" w:tplc="5DD66B32" w:tentative="1">
      <w:start w:val="1"/>
      <w:numFmt w:val="bullet"/>
      <w:lvlText w:val="•"/>
      <w:lvlJc w:val="left"/>
      <w:pPr>
        <w:tabs>
          <w:tab w:val="num" w:pos="4320"/>
        </w:tabs>
        <w:ind w:left="4320" w:hanging="360"/>
      </w:pPr>
      <w:rPr>
        <w:rFonts w:ascii="Arial" w:hAnsi="Arial" w:hint="default"/>
      </w:rPr>
    </w:lvl>
    <w:lvl w:ilvl="6" w:tplc="FD72A4C6" w:tentative="1">
      <w:start w:val="1"/>
      <w:numFmt w:val="bullet"/>
      <w:lvlText w:val="•"/>
      <w:lvlJc w:val="left"/>
      <w:pPr>
        <w:tabs>
          <w:tab w:val="num" w:pos="5040"/>
        </w:tabs>
        <w:ind w:left="5040" w:hanging="360"/>
      </w:pPr>
      <w:rPr>
        <w:rFonts w:ascii="Arial" w:hAnsi="Arial" w:hint="default"/>
      </w:rPr>
    </w:lvl>
    <w:lvl w:ilvl="7" w:tplc="EFA2AA2E" w:tentative="1">
      <w:start w:val="1"/>
      <w:numFmt w:val="bullet"/>
      <w:lvlText w:val="•"/>
      <w:lvlJc w:val="left"/>
      <w:pPr>
        <w:tabs>
          <w:tab w:val="num" w:pos="5760"/>
        </w:tabs>
        <w:ind w:left="5760" w:hanging="360"/>
      </w:pPr>
      <w:rPr>
        <w:rFonts w:ascii="Arial" w:hAnsi="Arial" w:hint="default"/>
      </w:rPr>
    </w:lvl>
    <w:lvl w:ilvl="8" w:tplc="4D460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C2B1B38"/>
    <w:multiLevelType w:val="hybridMultilevel"/>
    <w:tmpl w:val="F8B8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14106"/>
    <w:multiLevelType w:val="hybridMultilevel"/>
    <w:tmpl w:val="90FA68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BF"/>
    <w:rsid w:val="00070563"/>
    <w:rsid w:val="001A199F"/>
    <w:rsid w:val="002B315D"/>
    <w:rsid w:val="002B4720"/>
    <w:rsid w:val="003652B8"/>
    <w:rsid w:val="003F47BC"/>
    <w:rsid w:val="00404763"/>
    <w:rsid w:val="00447D84"/>
    <w:rsid w:val="00504BCE"/>
    <w:rsid w:val="00537AA3"/>
    <w:rsid w:val="00573CFE"/>
    <w:rsid w:val="005D1CBF"/>
    <w:rsid w:val="0069115F"/>
    <w:rsid w:val="00691622"/>
    <w:rsid w:val="006F78AB"/>
    <w:rsid w:val="00860769"/>
    <w:rsid w:val="00895499"/>
    <w:rsid w:val="008D49FC"/>
    <w:rsid w:val="00960027"/>
    <w:rsid w:val="00985935"/>
    <w:rsid w:val="00A23BF7"/>
    <w:rsid w:val="00AE7608"/>
    <w:rsid w:val="00B00580"/>
    <w:rsid w:val="00B1796E"/>
    <w:rsid w:val="00B45D04"/>
    <w:rsid w:val="00BF6C84"/>
    <w:rsid w:val="00C02E5B"/>
    <w:rsid w:val="00CE1B92"/>
    <w:rsid w:val="00D50BCB"/>
    <w:rsid w:val="00DE28D6"/>
    <w:rsid w:val="00E32591"/>
    <w:rsid w:val="00E45C39"/>
    <w:rsid w:val="00E51577"/>
    <w:rsid w:val="00E626D2"/>
    <w:rsid w:val="00FF1B08"/>
    <w:rsid w:val="1748AF19"/>
    <w:rsid w:val="2F14E1F2"/>
    <w:rsid w:val="65D8C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A138"/>
  <w15:chartTrackingRefBased/>
  <w15:docId w15:val="{6E24BD29-9A9A-4C2B-AE09-919AB9F8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BF"/>
    <w:pPr>
      <w:spacing w:after="200" w:line="276" w:lineRule="auto"/>
    </w:pPr>
    <w:rPr>
      <w:rFonts w:ascii="Calibri" w:eastAsia="Calibri" w:hAnsi="Calibri" w:cs="Times New Roman"/>
      <w:lang w:val="en-GB"/>
    </w:rPr>
  </w:style>
  <w:style w:type="paragraph" w:styleId="Heading1">
    <w:name w:val="heading 1"/>
    <w:basedOn w:val="Normal"/>
    <w:next w:val="Normal"/>
    <w:link w:val="Heading1Char"/>
    <w:qFormat/>
    <w:rsid w:val="005D1CBF"/>
    <w:pPr>
      <w:keepNext/>
      <w:spacing w:after="0" w:line="240" w:lineRule="auto"/>
      <w:outlineLvl w:val="0"/>
    </w:pPr>
    <w:rPr>
      <w:rFonts w:ascii="Century Gothic" w:eastAsia="Times New Roman" w:hAnsi="Century Gothic"/>
      <w:b/>
      <w:color w:val="0070C0"/>
      <w:sz w:val="24"/>
      <w:szCs w:val="20"/>
      <w:lang w:val="es-ES_tradnl" w:eastAsia="es-ES"/>
    </w:rPr>
  </w:style>
  <w:style w:type="paragraph" w:styleId="Heading3">
    <w:name w:val="heading 3"/>
    <w:basedOn w:val="Normal"/>
    <w:next w:val="Normal"/>
    <w:link w:val="Heading3Char"/>
    <w:uiPriority w:val="9"/>
    <w:unhideWhenUsed/>
    <w:qFormat/>
    <w:rsid w:val="00E51577"/>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CBF"/>
    <w:rPr>
      <w:rFonts w:ascii="Century Gothic" w:eastAsia="Times New Roman" w:hAnsi="Century Gothic" w:cs="Times New Roman"/>
      <w:b/>
      <w:color w:val="0070C0"/>
      <w:sz w:val="24"/>
      <w:szCs w:val="20"/>
      <w:lang w:val="es-ES_tradnl" w:eastAsia="es-ES"/>
    </w:rPr>
  </w:style>
  <w:style w:type="table" w:styleId="GridTable3-Accent4">
    <w:name w:val="Grid Table 3 Accent 4"/>
    <w:basedOn w:val="TableNormal"/>
    <w:uiPriority w:val="48"/>
    <w:rsid w:val="005D1CBF"/>
    <w:pPr>
      <w:spacing w:after="0" w:line="240" w:lineRule="auto"/>
    </w:p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styleId="Header">
    <w:name w:val="header"/>
    <w:basedOn w:val="Normal"/>
    <w:link w:val="HeaderChar"/>
    <w:uiPriority w:val="99"/>
    <w:unhideWhenUsed/>
    <w:rsid w:val="005D1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CBF"/>
    <w:rPr>
      <w:rFonts w:ascii="Calibri" w:eastAsia="Calibri" w:hAnsi="Calibri" w:cs="Times New Roman"/>
      <w:lang w:val="en-GB"/>
    </w:rPr>
  </w:style>
  <w:style w:type="paragraph" w:styleId="Footer">
    <w:name w:val="footer"/>
    <w:basedOn w:val="Normal"/>
    <w:link w:val="FooterChar"/>
    <w:uiPriority w:val="99"/>
    <w:unhideWhenUsed/>
    <w:rsid w:val="005D1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CBF"/>
    <w:rPr>
      <w:rFonts w:ascii="Calibri" w:eastAsia="Calibri" w:hAnsi="Calibri" w:cs="Times New Roman"/>
      <w:lang w:val="en-GB"/>
    </w:rPr>
  </w:style>
  <w:style w:type="paragraph" w:styleId="ListParagraph">
    <w:name w:val="List Paragraph"/>
    <w:basedOn w:val="Normal"/>
    <w:uiPriority w:val="34"/>
    <w:qFormat/>
    <w:rsid w:val="00FF1B08"/>
    <w:pPr>
      <w:spacing w:after="160" w:line="259"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404763"/>
    <w:rPr>
      <w:sz w:val="16"/>
      <w:szCs w:val="16"/>
    </w:rPr>
  </w:style>
  <w:style w:type="paragraph" w:styleId="CommentText">
    <w:name w:val="annotation text"/>
    <w:basedOn w:val="Normal"/>
    <w:link w:val="CommentTextChar"/>
    <w:uiPriority w:val="99"/>
    <w:semiHidden/>
    <w:unhideWhenUsed/>
    <w:rsid w:val="00404763"/>
    <w:pPr>
      <w:spacing w:line="240" w:lineRule="auto"/>
    </w:pPr>
    <w:rPr>
      <w:sz w:val="20"/>
      <w:szCs w:val="20"/>
    </w:rPr>
  </w:style>
  <w:style w:type="character" w:customStyle="1" w:styleId="CommentTextChar">
    <w:name w:val="Comment Text Char"/>
    <w:basedOn w:val="DefaultParagraphFont"/>
    <w:link w:val="CommentText"/>
    <w:uiPriority w:val="99"/>
    <w:semiHidden/>
    <w:rsid w:val="00404763"/>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04763"/>
    <w:rPr>
      <w:b/>
      <w:bCs/>
    </w:rPr>
  </w:style>
  <w:style w:type="character" w:customStyle="1" w:styleId="CommentSubjectChar">
    <w:name w:val="Comment Subject Char"/>
    <w:basedOn w:val="CommentTextChar"/>
    <w:link w:val="CommentSubject"/>
    <w:uiPriority w:val="99"/>
    <w:semiHidden/>
    <w:rsid w:val="00404763"/>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404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763"/>
    <w:rPr>
      <w:rFonts w:ascii="Segoe UI" w:eastAsia="Calibri" w:hAnsi="Segoe UI" w:cs="Segoe UI"/>
      <w:sz w:val="18"/>
      <w:szCs w:val="18"/>
      <w:lang w:val="en-GB"/>
    </w:rPr>
  </w:style>
  <w:style w:type="character" w:customStyle="1" w:styleId="Heading3Char">
    <w:name w:val="Heading 3 Char"/>
    <w:basedOn w:val="DefaultParagraphFont"/>
    <w:link w:val="Heading3"/>
    <w:uiPriority w:val="9"/>
    <w:rsid w:val="00E51577"/>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fys Project Document" ma:contentTypeID="0x010100A7469C0966CA90489823139BF9667639004899FF981C52D4428C2C1B7EFBC3CBA9" ma:contentTypeVersion="33" ma:contentTypeDescription="Create a new document." ma:contentTypeScope="" ma:versionID="a08707b0f4e41094270780670012b38a">
  <xsd:schema xmlns:xsd="http://www.w3.org/2001/XMLSchema" xmlns:xs="http://www.w3.org/2001/XMLSchema" xmlns:p="http://schemas.microsoft.com/office/2006/metadata/properties" xmlns:ns2="e1257548-8d2b-4d6f-b043-1f07790f9f1e" xmlns:ns3="ee4b05f6-b9a6-4e48-8d88-9ba44fa847f0" xmlns:ns4="6b1c5daa-28f8-4aa0-9302-4776c4016812" targetNamespace="http://schemas.microsoft.com/office/2006/metadata/properties" ma:root="true" ma:fieldsID="04f6b2c01cae23d8a250129d5d248579" ns2:_="" ns3:_="" ns4:_="">
    <xsd:import namespace="e1257548-8d2b-4d6f-b043-1f07790f9f1e"/>
    <xsd:import namespace="ee4b05f6-b9a6-4e48-8d88-9ba44fa847f0"/>
    <xsd:import namespace="6b1c5daa-28f8-4aa0-9302-4776c4016812"/>
    <xsd:element name="properties">
      <xsd:complexType>
        <xsd:sequence>
          <xsd:element name="documentManagement">
            <xsd:complexType>
              <xsd:all>
                <xsd:element ref="ns2:ProjectDocumentDescription" minOccurs="0"/>
                <xsd:element ref="ns2:ProjectDocumentCategory"/>
                <xsd:element ref="ns2:Year" minOccurs="0"/>
                <xsd:element ref="ns2:Country" minOccurs="0"/>
                <xsd:element ref="ns2:Subcategory" minOccurs="0"/>
                <xsd:element ref="ns2:EcofysConfidentia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57548-8d2b-4d6f-b043-1f07790f9f1e" elementFormDefault="qualified">
    <xsd:import namespace="http://schemas.microsoft.com/office/2006/documentManagement/types"/>
    <xsd:import namespace="http://schemas.microsoft.com/office/infopath/2007/PartnerControls"/>
    <xsd:element name="ProjectDocumentDescription" ma:index="8" nillable="true" ma:displayName="Document Description" ma:internalName="ProjectDocumentDescription" ma:readOnly="false">
      <xsd:simpleType>
        <xsd:restriction base="dms:Note">
          <xsd:maxLength value="255"/>
        </xsd:restriction>
      </xsd:simpleType>
    </xsd:element>
    <xsd:element name="ProjectDocumentCategory" ma:index="9" ma:displayName="Document Category" ma:default="No Category" ma:format="Dropdown" ma:internalName="ProjectDocumentCategory" ma:readOnly="false">
      <xsd:simpleType>
        <xsd:restriction base="dms:Choice">
          <xsd:enumeration value="Proposal"/>
          <xsd:enumeration value="QCL"/>
          <xsd:enumeration value="Budget"/>
          <xsd:enumeration value="Contract"/>
          <xsd:enumeration value="Communication"/>
          <xsd:enumeration value="Minutes"/>
          <xsd:enumeration value="Data"/>
          <xsd:enumeration value="Report"/>
          <xsd:enumeration value="Background information"/>
          <xsd:enumeration value="Invoice"/>
          <xsd:enumeration value="Planning and control"/>
          <xsd:enumeration value="Presentation"/>
          <xsd:enumeration value="Image"/>
          <xsd:enumeration value="Sub-contract"/>
          <xsd:enumeration value="Drawing"/>
          <xsd:enumeration value="Analysis"/>
          <xsd:enumeration value="CV"/>
          <xsd:enumeration value="No Category"/>
          <xsd:enumeration value="Tender document"/>
          <xsd:enumeration value="Travel"/>
        </xsd:restriction>
      </xsd:simpleType>
    </xsd:element>
    <xsd:element name="Year" ma:index="10" nillable="true" ma:displayName="Year" ma:format="Dropdown" ma:internalName="Year"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Country" ma:index="11" nillable="true" ma:displayName="Country" ma:format="Dropdown" ma:internalName="Country" ma:readOnly="false">
      <xsd:simpleType>
        <xsd:restriction base="dms:Choice">
          <xsd:enumeration value=".Africa (region)"/>
          <xsd:enumeration value=".APEC countries (region)"/>
          <xsd:enumeration value=".Asia (region)"/>
          <xsd:enumeration value=".EU (region)"/>
          <xsd:enumeration value=".Euromed (region)"/>
          <xsd:enumeration value=".Global/World (region)"/>
          <xsd:enumeration value=".Latin America (region)"/>
          <xsd:enumeration value=".MENA (region)"/>
          <xsd:enumeration value=".OHADA (region)"/>
          <xsd:enumeration value=".OPEC countries (region)"/>
          <xsd:enumeration value="Albania"/>
          <xsd:enumeration value="Algeria"/>
          <xsd:enumeration value="Angola"/>
          <xsd:enumeration value="Antigua and Barbuda"/>
          <xsd:enumeration value="Argentina"/>
          <xsd:enumeration value="Australia"/>
          <xsd:enumeration value="Austria"/>
          <xsd:enumeration value="Bahrain"/>
          <xsd:enumeration value="Barbados"/>
          <xsd:enumeration value="Belgium"/>
          <xsd:enumeration value="Belize"/>
          <xsd:enumeration value="Benelux"/>
          <xsd:enumeration value="Benin"/>
          <xsd:enumeration value="Benin"/>
          <xsd:enumeration value="Bolivia"/>
          <xsd:enumeration value="Bonaire"/>
          <xsd:enumeration value="Botswana"/>
          <xsd:enumeration value="Brazil"/>
          <xsd:enumeration value="Brunei"/>
          <xsd:enumeration value="Bulgaria"/>
          <xsd:enumeration value="Burkina Faso"/>
          <xsd:enumeration value="Burkina Faso"/>
          <xsd:enumeration value="Burundi"/>
          <xsd:enumeration value="Cameroon"/>
          <xsd:enumeration value="Canada"/>
          <xsd:enumeration value="Cape Verde"/>
          <xsd:enumeration value="Central African Republic"/>
          <xsd:enumeration value="Chad"/>
          <xsd:enumeration value="Chile"/>
          <xsd:enumeration value="Chinese Taipei"/>
          <xsd:enumeration value="Colombia"/>
          <xsd:enumeration value="Comoros"/>
          <xsd:enumeration value="Congo"/>
          <xsd:enumeration value="Costa Rica"/>
          <xsd:enumeration value="Cote d'Ivoire"/>
          <xsd:enumeration value="Cyprus"/>
          <xsd:enumeration value="Czech Republic"/>
          <xsd:enumeration value="Dem. Rep. Congo (Zaire)"/>
          <xsd:enumeration value="Denmark"/>
          <xsd:enumeration value="Djibouti"/>
          <xsd:enumeration value="Dominica"/>
          <xsd:enumeration value="Dominican Republic"/>
          <xsd:enumeration value="Ecuador"/>
          <xsd:enumeration value="Egypt"/>
          <xsd:enumeration value="El Salvador"/>
          <xsd:enumeration value="Equatorial Guinea"/>
          <xsd:enumeration value="Estonia"/>
          <xsd:enumeration value="Ethiopia"/>
          <xsd:enumeration value="Europe"/>
          <xsd:enumeration value="Finland"/>
          <xsd:enumeration value="France"/>
          <xsd:enumeration value="Gabon"/>
          <xsd:enumeration value="Gambia"/>
          <xsd:enumeration value="Germany"/>
          <xsd:enumeration value="Ghana"/>
          <xsd:enumeration value="Greece"/>
          <xsd:enumeration value="Grenada"/>
          <xsd:enumeration value="Guatemala"/>
          <xsd:enumeration value="Guinea"/>
          <xsd:enumeration value="Guinea Bissau"/>
          <xsd:enumeration value="Guyana"/>
          <xsd:enumeration value="Haiti"/>
          <xsd:enumeration value="Honduras"/>
          <xsd:enumeration value="Hong Kong, China"/>
          <xsd:enumeration value="Hungary"/>
          <xsd:enumeration value="Iceland"/>
          <xsd:enumeration value="India"/>
          <xsd:enumeration value="Indonesia"/>
          <xsd:enumeration value="Iran"/>
          <xsd:enumeration value="Iraq"/>
          <xsd:enumeration value="Ireland"/>
          <xsd:enumeration value="Israel"/>
          <xsd:enumeration value="Italy"/>
          <xsd:enumeration value="Ivory Coast"/>
          <xsd:enumeration value="Jamaica"/>
          <xsd:enumeration value="Japan"/>
          <xsd:enumeration value="Jordan"/>
          <xsd:enumeration value="Kazakhstan"/>
          <xsd:enumeration value="Kenya"/>
          <xsd:enumeration value="Korea, North"/>
          <xsd:enumeration value="Korea, South"/>
          <xsd:enumeration value="Kuwait"/>
          <xsd:enumeration value="Kyrgyzstan"/>
          <xsd:enumeration value="Latvia"/>
          <xsd:enumeration value="Lebanon"/>
          <xsd:enumeration value="Lesotho"/>
          <xsd:enumeration value="Liberia"/>
          <xsd:enumeration value="Libya"/>
          <xsd:enumeration value="Lithuania"/>
          <xsd:enumeration value="Luxembourg"/>
          <xsd:enumeration value="Madagascar"/>
          <xsd:enumeration value="Malawi"/>
          <xsd:enumeration value="Malaysia"/>
          <xsd:enumeration value="Maldives"/>
          <xsd:enumeration value="Mali"/>
          <xsd:enumeration value="Malta"/>
          <xsd:enumeration value="Mauritania"/>
          <xsd:enumeration value="Mauritius"/>
          <xsd:enumeration value="Mexico"/>
          <xsd:enumeration value="Moldova"/>
          <xsd:enumeration value="Mongolia"/>
          <xsd:enumeration value="Morocco"/>
          <xsd:enumeration value="Mozambique"/>
          <xsd:enumeration value="Myanmar"/>
          <xsd:enumeration value="Namibia"/>
          <xsd:enumeration value="Nepal"/>
          <xsd:enumeration value="New Zealand"/>
          <xsd:enumeration value="Nicaragua"/>
          <xsd:enumeration value="Niger"/>
          <xsd:enumeration value="Nigeria"/>
          <xsd:enumeration value="Oman"/>
          <xsd:enumeration value="Pakistan"/>
          <xsd:enumeration value="Palestinian territories"/>
          <xsd:enumeration value="Panama"/>
          <xsd:enumeration value="Papua New Guinea"/>
          <xsd:enumeration value="Paraguay"/>
          <xsd:enumeration value="People's Republic of China"/>
          <xsd:enumeration value="Peru"/>
          <xsd:enumeration value="Peru"/>
          <xsd:enumeration value="Philippines"/>
          <xsd:enumeration value="Poland"/>
          <xsd:enumeration value="Portugal"/>
          <xsd:enumeration value="Qatar"/>
          <xsd:enumeration value="Reunion"/>
          <xsd:enumeration value="Romania"/>
          <xsd:enumeration value="Russia"/>
          <xsd:enumeration value="Rwanda"/>
          <xsd:enumeration value="Saint Kitts and Nevis"/>
          <xsd:enumeration value="Saint Lucia"/>
          <xsd:enumeration value="Saint Vincent and the Grenadines"/>
          <xsd:enumeration value="São Tomé and Principe"/>
          <xsd:enumeration value="Saudi Arabia"/>
          <xsd:enumeration value="Senegal"/>
          <xsd:enumeration value="Seychelles"/>
          <xsd:enumeration value="Sierra Leone"/>
          <xsd:enumeration value="Singapore"/>
          <xsd:enumeration value="Singapore"/>
          <xsd:enumeration value="Slovakia"/>
          <xsd:enumeration value="Slovenia"/>
          <xsd:enumeration value="Somalia"/>
          <xsd:enumeration value="South Africa"/>
          <xsd:enumeration value="Spain"/>
          <xsd:enumeration value="Sri Lanka"/>
          <xsd:enumeration value="Sudan"/>
          <xsd:enumeration value="Suriname"/>
          <xsd:enumeration value="Swaziland"/>
          <xsd:enumeration value="Sweden"/>
          <xsd:enumeration value="Switzerland"/>
          <xsd:enumeration value="Syria"/>
          <xsd:enumeration value="Taiwan"/>
          <xsd:enumeration value="Tajikistan"/>
          <xsd:enumeration value="Tanzania"/>
          <xsd:enumeration value="Thailand"/>
          <xsd:enumeration value="The Bahamas"/>
          <xsd:enumeration value="The Netherlands"/>
          <xsd:enumeration value="Togo"/>
          <xsd:enumeration value="Trinidad and Tobago"/>
          <xsd:enumeration value="Tunisia"/>
          <xsd:enumeration value="Turkey"/>
          <xsd:enumeration value="Turkmenistan"/>
          <xsd:enumeration value="Uganda"/>
          <xsd:enumeration value="Ukraine"/>
          <xsd:enumeration value="United Arab Emirates"/>
          <xsd:enumeration value="United Kingdom"/>
          <xsd:enumeration value="United States"/>
          <xsd:enumeration value="Uruguay"/>
          <xsd:enumeration value="Uzbekistan"/>
          <xsd:enumeration value="Venezuela"/>
          <xsd:enumeration value="Vietnam"/>
          <xsd:enumeration value="Yemen"/>
          <xsd:enumeration value="Zambia"/>
          <xsd:enumeration value="Zanzibar"/>
          <xsd:enumeration value="Zimbabwe"/>
        </xsd:restriction>
      </xsd:simpleType>
    </xsd:element>
    <xsd:element name="Subcategory" ma:index="12" nillable="true" ma:displayName="Sub category" ma:format="Dropdown" ma:internalName="Subcategory" ma:readOnly="false">
      <xsd:simpleType>
        <xsd:restriction base="dms:Choice">
          <xsd:enumeration value="None"/>
        </xsd:restriction>
      </xsd:simpleType>
    </xsd:element>
    <xsd:element name="EcofysConfidential" ma:index="13" nillable="true" ma:displayName="Confidential" ma:default="0" ma:internalName="EcofysConfidential"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e4b05f6-b9a6-4e48-8d88-9ba44fa847f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c5daa-28f8-4aa0-9302-4776c4016812"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DocumentCategory xmlns="e1257548-8d2b-4d6f-b043-1f07790f9f1e">No Category</ProjectDocumentCategory>
    <EcofysConfidential xmlns="e1257548-8d2b-4d6f-b043-1f07790f9f1e">false</EcofysConfidential>
    <Year xmlns="e1257548-8d2b-4d6f-b043-1f07790f9f1e" xsi:nil="true"/>
    <ProjectDocumentDescription xmlns="e1257548-8d2b-4d6f-b043-1f07790f9f1e" xsi:nil="true"/>
    <Country xmlns="e1257548-8d2b-4d6f-b043-1f07790f9f1e" xsi:nil="true"/>
    <Subcategory xmlns="e1257548-8d2b-4d6f-b043-1f07790f9f1e" xsi:nil="true"/>
    <SharedWithUsers xmlns="6b1c5daa-28f8-4aa0-9302-4776c4016812">
      <UserInfo>
        <DisplayName>Larissa Oppermann</DisplayName>
        <AccountId>5264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8420B-D129-468F-AFE0-82CB6E125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57548-8d2b-4d6f-b043-1f07790f9f1e"/>
    <ds:schemaRef ds:uri="ee4b05f6-b9a6-4e48-8d88-9ba44fa847f0"/>
    <ds:schemaRef ds:uri="6b1c5daa-28f8-4aa0-9302-4776c4016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C5BFC-57C6-4C05-BE9B-621435AF081E}">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ee4b05f6-b9a6-4e48-8d88-9ba44fa847f0"/>
    <ds:schemaRef ds:uri="http://purl.org/dc/elements/1.1/"/>
    <ds:schemaRef ds:uri="http://schemas.openxmlformats.org/package/2006/metadata/core-properties"/>
    <ds:schemaRef ds:uri="6b1c5daa-28f8-4aa0-9302-4776c4016812"/>
    <ds:schemaRef ds:uri="e1257548-8d2b-4d6f-b043-1f07790f9f1e"/>
    <ds:schemaRef ds:uri="http://www.w3.org/XML/1998/namespace"/>
    <ds:schemaRef ds:uri="http://purl.org/dc/dcmitype/"/>
  </ds:schemaRefs>
</ds:datastoreItem>
</file>

<file path=customXml/itemProps3.xml><?xml version="1.0" encoding="utf-8"?>
<ds:datastoreItem xmlns:ds="http://schemas.openxmlformats.org/officeDocument/2006/customXml" ds:itemID="{72022B21-E915-48C4-B253-F79968B45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Drilona Shtjefni</dc:creator>
  <cp:keywords/>
  <dc:description/>
  <cp:lastModifiedBy>Arnold Bruhin</cp:lastModifiedBy>
  <cp:revision>3</cp:revision>
  <dcterms:created xsi:type="dcterms:W3CDTF">2021-08-31T13:56:00Z</dcterms:created>
  <dcterms:modified xsi:type="dcterms:W3CDTF">2021-08-31T14:27:00Z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0x010100A7469C0966CA90489823139BF9667639004899FF981C52D4428C2C1B7EFBC3CBA9</vt:lpwstr>
  </property>
  <property fmtid="{D5CDD505-2E9C-101B-9397-08002B2CF9AE}" pid="3" name="_ExtendedDescription">
    <vt:lpwstr/>
  </property>
</Properties>
</file>